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F4" w:rsidRPr="00C91DC0" w:rsidRDefault="000E39F4" w:rsidP="000E39F4">
      <w:pPr>
        <w:pStyle w:val="Header"/>
        <w:jc w:val="center"/>
        <w:rPr>
          <w:rFonts w:ascii="Arial" w:hAnsi="Arial" w:cs="Arial"/>
          <w:b/>
          <w:lang w:val="es-PR"/>
        </w:rPr>
      </w:pPr>
      <w:r w:rsidRPr="00C91DC0">
        <w:rPr>
          <w:rFonts w:ascii="Arial" w:hAnsi="Arial" w:cs="Arial"/>
          <w:b/>
          <w:lang w:val="es-PR"/>
        </w:rPr>
        <w:t>Ponencia</w:t>
      </w:r>
      <w:r w:rsidRPr="00C91DC0">
        <w:rPr>
          <w:rFonts w:ascii="Arial" w:hAnsi="Arial" w:cs="Arial"/>
          <w:b/>
          <w:lang w:val="es-PR"/>
        </w:rPr>
        <w:t xml:space="preserve"> sobre </w:t>
      </w:r>
      <w:r w:rsidRPr="00C91DC0">
        <w:rPr>
          <w:rFonts w:ascii="Arial" w:hAnsi="Arial" w:cs="Arial"/>
          <w:b/>
          <w:lang w:val="es-PR"/>
        </w:rPr>
        <w:t>Informes de Transición 2016-2017</w:t>
      </w:r>
      <w:r w:rsidRPr="00C91DC0">
        <w:rPr>
          <w:rStyle w:val="FootnoteReference"/>
          <w:rFonts w:ascii="Arial" w:hAnsi="Arial" w:cs="Arial"/>
          <w:b/>
          <w:lang w:val="es-PR"/>
        </w:rPr>
        <w:footnoteReference w:id="1"/>
      </w:r>
    </w:p>
    <w:p w:rsidR="000E39F4" w:rsidRPr="000E39F4" w:rsidRDefault="000E39F4" w:rsidP="00CA6B7A">
      <w:pPr>
        <w:spacing w:after="120"/>
        <w:jc w:val="both"/>
        <w:rPr>
          <w:rStyle w:val="contenido1"/>
          <w:rFonts w:ascii="Arial" w:hAnsi="Arial" w:cs="Arial"/>
          <w:b/>
          <w:sz w:val="24"/>
          <w:szCs w:val="24"/>
          <w:lang w:val="es-PR"/>
        </w:rPr>
      </w:pPr>
    </w:p>
    <w:p w:rsidR="00951EE0" w:rsidRPr="000E39F4" w:rsidRDefault="00951EE0" w:rsidP="00CA6B7A">
      <w:pPr>
        <w:spacing w:after="120"/>
        <w:jc w:val="both"/>
        <w:rPr>
          <w:rStyle w:val="contenido1"/>
          <w:rFonts w:ascii="Arial" w:hAnsi="Arial" w:cs="Arial"/>
          <w:b/>
          <w:sz w:val="24"/>
          <w:szCs w:val="24"/>
          <w:lang w:val="es-PR"/>
        </w:rPr>
      </w:pPr>
      <w:r w:rsidRPr="000E39F4">
        <w:rPr>
          <w:rStyle w:val="contenido1"/>
          <w:rFonts w:ascii="Arial" w:hAnsi="Arial" w:cs="Arial"/>
          <w:b/>
          <w:sz w:val="24"/>
          <w:szCs w:val="24"/>
          <w:lang w:val="es-PR"/>
        </w:rPr>
        <w:t>I.  Introducción</w:t>
      </w:r>
    </w:p>
    <w:p w:rsidR="00951EE0" w:rsidRPr="000E39F4" w:rsidRDefault="00951EE0" w:rsidP="00CA6B7A">
      <w:pPr>
        <w:spacing w:after="120"/>
        <w:jc w:val="both"/>
        <w:rPr>
          <w:rStyle w:val="contenido1"/>
          <w:rFonts w:ascii="Arial" w:hAnsi="Arial" w:cs="Arial"/>
          <w:sz w:val="24"/>
          <w:szCs w:val="24"/>
          <w:lang w:val="es-PR"/>
        </w:rPr>
      </w:pPr>
      <w:r w:rsidRPr="000E39F4">
        <w:rPr>
          <w:rStyle w:val="contenido1"/>
          <w:rFonts w:ascii="Arial" w:hAnsi="Arial" w:cs="Arial"/>
          <w:sz w:val="24"/>
          <w:szCs w:val="24"/>
          <w:lang w:val="es-PR"/>
        </w:rPr>
        <w:t xml:space="preserve">La Comisión Apelativa del Servicio Público (CASP) es </w:t>
      </w:r>
      <w:r w:rsidRPr="000E39F4">
        <w:rPr>
          <w:rFonts w:ascii="Arial" w:hAnsi="Arial" w:cs="Arial"/>
          <w:lang w:val="es-PR"/>
        </w:rPr>
        <w:t>un organismo cuasi-judicial en la Rama Ejecutiva, especializado en asuntos obrero-patronales y del principio de mérito en el que se atienden casos laborales, de administración de recursos humanos y de querellas, tanto para los empleados que negocian al amparo de la Ley Núm. 45-1998, s.e., “Ley de Relaciones del Trabajo del Servicio Público”, como para los empleados públicos cubiertos por la Ley Núm. 184-2004, s.e., “Ley para la Administración de los Recursos Humanos en el Servicio Público del Estado Libre Asociado de Puerto Rico”, los empleados municipales cubiertos por la Ley Núm. 81-1991, s.e., “Ley de Municipios Autónomos”, los empleados irregulares cubiertos por la Ley Núm. 110 de 26 de junio de 1958, s.e., “Ley de Empleados Irregulares”</w:t>
      </w:r>
      <w:r w:rsidRPr="000E39F4">
        <w:rPr>
          <w:rStyle w:val="FootnoteReference"/>
          <w:rFonts w:ascii="Arial" w:hAnsi="Arial" w:cs="Arial"/>
          <w:lang w:val="es-PR"/>
        </w:rPr>
        <w:footnoteReference w:id="2"/>
      </w:r>
      <w:r w:rsidRPr="000E39F4">
        <w:rPr>
          <w:rFonts w:ascii="Arial" w:hAnsi="Arial" w:cs="Arial"/>
          <w:lang w:val="es-PR"/>
        </w:rPr>
        <w:t xml:space="preserve">.  Además, la CASP atiende aquellos casos al amparo de la Ley Núm. 333-2004, s.e., “Carta de Derechos de los Empleados de una Organización Laboral”, la Ley Núm. 66-2014, “Ley Especial de Sostenibilidad Fiscal y Operacional del Gobierno del Estado Libre Asociado de Puerto Rico” y la Ley Núm. </w:t>
      </w:r>
      <w:r w:rsidR="00032768">
        <w:rPr>
          <w:rFonts w:ascii="Arial" w:hAnsi="Arial" w:cs="Arial"/>
          <w:lang w:val="es-PR"/>
        </w:rPr>
        <w:br/>
      </w:r>
      <w:r w:rsidRPr="000E39F4">
        <w:rPr>
          <w:rFonts w:ascii="Arial" w:hAnsi="Arial" w:cs="Arial"/>
          <w:lang w:val="es-PR"/>
        </w:rPr>
        <w:t>89-2016, “Ley de Empleo Temporal en el Servicio Público</w:t>
      </w:r>
      <w:proofErr w:type="gramStart"/>
      <w:r w:rsidRPr="000E39F4">
        <w:rPr>
          <w:rFonts w:ascii="Arial" w:hAnsi="Arial" w:cs="Arial"/>
          <w:lang w:val="es-PR"/>
        </w:rPr>
        <w:t>” .</w:t>
      </w:r>
      <w:proofErr w:type="gramEnd"/>
    </w:p>
    <w:p w:rsidR="00951EE0" w:rsidRDefault="00951EE0" w:rsidP="00CA6B7A">
      <w:pPr>
        <w:spacing w:after="120"/>
        <w:jc w:val="both"/>
        <w:rPr>
          <w:rFonts w:ascii="Arial" w:hAnsi="Arial" w:cs="Arial"/>
          <w:lang w:val="es-PR"/>
        </w:rPr>
      </w:pPr>
      <w:r w:rsidRPr="000E39F4">
        <w:rPr>
          <w:rFonts w:ascii="Arial" w:hAnsi="Arial" w:cs="Arial"/>
          <w:lang w:val="es-PR"/>
        </w:rPr>
        <w:t xml:space="preserve">Al presente, la CASP </w:t>
      </w:r>
      <w:r w:rsidR="009F451B" w:rsidRPr="000E39F4">
        <w:rPr>
          <w:rFonts w:ascii="Arial" w:hAnsi="Arial" w:cs="Arial"/>
          <w:lang w:val="es-PR"/>
        </w:rPr>
        <w:t xml:space="preserve">cuenta con cuarenta y nueve (49) </w:t>
      </w:r>
      <w:r w:rsidRPr="000E39F4">
        <w:rPr>
          <w:rFonts w:ascii="Arial" w:hAnsi="Arial" w:cs="Arial"/>
          <w:lang w:val="es-PR"/>
        </w:rPr>
        <w:t>empleados</w:t>
      </w:r>
      <w:r w:rsidRPr="000E39F4">
        <w:rPr>
          <w:rStyle w:val="FootnoteReference"/>
          <w:rFonts w:ascii="Arial" w:hAnsi="Arial" w:cs="Arial"/>
          <w:lang w:val="es-PR"/>
        </w:rPr>
        <w:footnoteReference w:id="3"/>
      </w:r>
      <w:r w:rsidRPr="000E39F4">
        <w:rPr>
          <w:rFonts w:ascii="Arial" w:hAnsi="Arial" w:cs="Arial"/>
          <w:lang w:val="es-PR"/>
        </w:rPr>
        <w:t xml:space="preserve"> quienes día tras día trabajan incansablemente para atender de la forma más justa y eficiente los asuntos traídos ante nuestra consideración por los propios servidores públicos de nuestro país.  Estos empleados se distribuyen de la siguiente forma:</w:t>
      </w:r>
    </w:p>
    <w:p w:rsidR="00106262" w:rsidRPr="000E39F4" w:rsidRDefault="00106262" w:rsidP="00CA6B7A">
      <w:pPr>
        <w:spacing w:after="120"/>
        <w:jc w:val="both"/>
        <w:rPr>
          <w:rFonts w:ascii="Arial" w:hAnsi="Arial" w:cs="Arial"/>
          <w:lang w:val="es-PR"/>
        </w:rPr>
      </w:pPr>
    </w:p>
    <w:tbl>
      <w:tblPr>
        <w:tblStyle w:val="TableGrid"/>
        <w:tblW w:w="0" w:type="auto"/>
        <w:jc w:val="center"/>
        <w:tblLook w:val="04A0" w:firstRow="1" w:lastRow="0" w:firstColumn="1" w:lastColumn="0" w:noHBand="0" w:noVBand="1"/>
      </w:tblPr>
      <w:tblGrid>
        <w:gridCol w:w="2951"/>
        <w:gridCol w:w="483"/>
        <w:gridCol w:w="1151"/>
        <w:gridCol w:w="2738"/>
        <w:gridCol w:w="350"/>
      </w:tblGrid>
      <w:tr w:rsidR="009F451B" w:rsidRPr="000E39F4" w:rsidTr="00032768">
        <w:trPr>
          <w:trHeight w:val="432"/>
          <w:jc w:val="center"/>
        </w:trPr>
        <w:tc>
          <w:tcPr>
            <w:tcW w:w="0" w:type="auto"/>
            <w:vAlign w:val="center"/>
          </w:tcPr>
          <w:p w:rsidR="009F451B" w:rsidRPr="000E39F4" w:rsidRDefault="009F451B" w:rsidP="00CA6B7A">
            <w:pPr>
              <w:jc w:val="both"/>
              <w:rPr>
                <w:rFonts w:ascii="Arial" w:hAnsi="Arial" w:cs="Arial"/>
                <w:lang w:val="es-PR"/>
              </w:rPr>
            </w:pPr>
            <w:r w:rsidRPr="000E39F4">
              <w:rPr>
                <w:rFonts w:ascii="Arial" w:hAnsi="Arial" w:cs="Arial"/>
                <w:lang w:val="es-PR"/>
              </w:rPr>
              <w:t>Directivos</w:t>
            </w:r>
          </w:p>
        </w:tc>
        <w:tc>
          <w:tcPr>
            <w:tcW w:w="0" w:type="auto"/>
            <w:vAlign w:val="center"/>
          </w:tcPr>
          <w:p w:rsidR="009F451B" w:rsidRPr="000E39F4" w:rsidRDefault="009F451B" w:rsidP="00032768">
            <w:pPr>
              <w:jc w:val="right"/>
              <w:rPr>
                <w:rFonts w:ascii="Arial" w:hAnsi="Arial" w:cs="Arial"/>
                <w:lang w:val="es-PR"/>
              </w:rPr>
            </w:pPr>
            <w:r w:rsidRPr="000E39F4">
              <w:rPr>
                <w:rFonts w:ascii="Arial" w:hAnsi="Arial" w:cs="Arial"/>
                <w:lang w:val="es-PR"/>
              </w:rPr>
              <w:t>6</w:t>
            </w:r>
            <w:r w:rsidR="00032768">
              <w:rPr>
                <w:rStyle w:val="FootnoteReference"/>
                <w:rFonts w:ascii="Arial" w:hAnsi="Arial" w:cs="Arial"/>
                <w:lang w:val="es-PR"/>
              </w:rPr>
              <w:footnoteReference w:id="4"/>
            </w:r>
          </w:p>
        </w:tc>
        <w:tc>
          <w:tcPr>
            <w:tcW w:w="1151" w:type="dxa"/>
            <w:tcBorders>
              <w:top w:val="nil"/>
              <w:bottom w:val="nil"/>
            </w:tcBorders>
            <w:vAlign w:val="center"/>
          </w:tcPr>
          <w:p w:rsidR="009F451B" w:rsidRPr="000E39F4" w:rsidRDefault="009F451B" w:rsidP="00CA6B7A">
            <w:pPr>
              <w:jc w:val="both"/>
              <w:rPr>
                <w:rFonts w:ascii="Arial" w:hAnsi="Arial" w:cs="Arial"/>
                <w:lang w:val="es-PR"/>
              </w:rPr>
            </w:pPr>
          </w:p>
        </w:tc>
        <w:tc>
          <w:tcPr>
            <w:tcW w:w="0" w:type="auto"/>
            <w:vAlign w:val="center"/>
          </w:tcPr>
          <w:p w:rsidR="009F451B" w:rsidRPr="000E39F4" w:rsidRDefault="009F451B" w:rsidP="00CA6B7A">
            <w:pPr>
              <w:jc w:val="both"/>
              <w:rPr>
                <w:rFonts w:ascii="Arial" w:hAnsi="Arial" w:cs="Arial"/>
                <w:lang w:val="es-PR"/>
              </w:rPr>
            </w:pPr>
            <w:r w:rsidRPr="000E39F4">
              <w:rPr>
                <w:rFonts w:ascii="Arial" w:hAnsi="Arial" w:cs="Arial"/>
                <w:lang w:val="es-PR"/>
              </w:rPr>
              <w:t>Comisionados</w:t>
            </w:r>
          </w:p>
        </w:tc>
        <w:tc>
          <w:tcPr>
            <w:tcW w:w="0" w:type="auto"/>
            <w:vAlign w:val="center"/>
          </w:tcPr>
          <w:p w:rsidR="009F451B" w:rsidRPr="000E39F4" w:rsidRDefault="009F451B" w:rsidP="00032768">
            <w:pPr>
              <w:jc w:val="right"/>
              <w:rPr>
                <w:rFonts w:ascii="Arial" w:hAnsi="Arial" w:cs="Arial"/>
                <w:lang w:val="es-PR"/>
              </w:rPr>
            </w:pPr>
            <w:r w:rsidRPr="000E39F4">
              <w:rPr>
                <w:rFonts w:ascii="Arial" w:hAnsi="Arial" w:cs="Arial"/>
                <w:lang w:val="es-PR"/>
              </w:rPr>
              <w:t>6</w:t>
            </w:r>
          </w:p>
        </w:tc>
      </w:tr>
      <w:tr w:rsidR="009F451B" w:rsidRPr="000E39F4" w:rsidTr="00032768">
        <w:trPr>
          <w:trHeight w:val="432"/>
          <w:jc w:val="center"/>
        </w:trPr>
        <w:tc>
          <w:tcPr>
            <w:tcW w:w="0" w:type="auto"/>
            <w:vAlign w:val="center"/>
          </w:tcPr>
          <w:p w:rsidR="009F451B" w:rsidRPr="000E39F4" w:rsidRDefault="009F451B" w:rsidP="00CA6B7A">
            <w:pPr>
              <w:jc w:val="both"/>
              <w:rPr>
                <w:rFonts w:ascii="Arial" w:hAnsi="Arial" w:cs="Arial"/>
                <w:lang w:val="es-PR"/>
              </w:rPr>
            </w:pPr>
            <w:r w:rsidRPr="000E39F4">
              <w:rPr>
                <w:rFonts w:ascii="Arial" w:hAnsi="Arial" w:cs="Arial"/>
                <w:lang w:val="es-PR"/>
              </w:rPr>
              <w:t>Auxiliares Administrativos</w:t>
            </w:r>
          </w:p>
        </w:tc>
        <w:tc>
          <w:tcPr>
            <w:tcW w:w="0" w:type="auto"/>
            <w:vAlign w:val="center"/>
          </w:tcPr>
          <w:p w:rsidR="009F451B" w:rsidRPr="000E39F4" w:rsidRDefault="009F451B" w:rsidP="00032768">
            <w:pPr>
              <w:jc w:val="right"/>
              <w:rPr>
                <w:rFonts w:ascii="Arial" w:hAnsi="Arial" w:cs="Arial"/>
                <w:lang w:val="es-PR"/>
              </w:rPr>
            </w:pPr>
            <w:r w:rsidRPr="000E39F4">
              <w:rPr>
                <w:rFonts w:ascii="Arial" w:hAnsi="Arial" w:cs="Arial"/>
                <w:lang w:val="es-PR"/>
              </w:rPr>
              <w:t>2</w:t>
            </w:r>
          </w:p>
        </w:tc>
        <w:tc>
          <w:tcPr>
            <w:tcW w:w="1151" w:type="dxa"/>
            <w:tcBorders>
              <w:top w:val="nil"/>
              <w:bottom w:val="nil"/>
            </w:tcBorders>
            <w:vAlign w:val="center"/>
          </w:tcPr>
          <w:p w:rsidR="009F451B" w:rsidRPr="000E39F4" w:rsidRDefault="009F451B" w:rsidP="00CA6B7A">
            <w:pPr>
              <w:jc w:val="both"/>
              <w:rPr>
                <w:rFonts w:ascii="Arial" w:hAnsi="Arial" w:cs="Arial"/>
                <w:lang w:val="es-PR"/>
              </w:rPr>
            </w:pPr>
          </w:p>
        </w:tc>
        <w:tc>
          <w:tcPr>
            <w:tcW w:w="0" w:type="auto"/>
            <w:vAlign w:val="center"/>
          </w:tcPr>
          <w:p w:rsidR="009F451B" w:rsidRPr="000E39F4" w:rsidRDefault="009F451B" w:rsidP="00CA6B7A">
            <w:pPr>
              <w:jc w:val="both"/>
              <w:rPr>
                <w:rFonts w:ascii="Arial" w:hAnsi="Arial" w:cs="Arial"/>
                <w:lang w:val="es-PR"/>
              </w:rPr>
            </w:pPr>
            <w:r w:rsidRPr="000E39F4">
              <w:rPr>
                <w:rFonts w:ascii="Arial" w:hAnsi="Arial" w:cs="Arial"/>
                <w:lang w:val="es-PR"/>
              </w:rPr>
              <w:t>Investigadores</w:t>
            </w:r>
          </w:p>
        </w:tc>
        <w:tc>
          <w:tcPr>
            <w:tcW w:w="0" w:type="auto"/>
            <w:vAlign w:val="center"/>
          </w:tcPr>
          <w:p w:rsidR="009F451B" w:rsidRPr="000E39F4" w:rsidRDefault="009F451B" w:rsidP="00032768">
            <w:pPr>
              <w:jc w:val="right"/>
              <w:rPr>
                <w:rFonts w:ascii="Arial" w:hAnsi="Arial" w:cs="Arial"/>
                <w:lang w:val="es-PR"/>
              </w:rPr>
            </w:pPr>
            <w:r w:rsidRPr="000E39F4">
              <w:rPr>
                <w:rFonts w:ascii="Arial" w:hAnsi="Arial" w:cs="Arial"/>
                <w:lang w:val="es-PR"/>
              </w:rPr>
              <w:t>4</w:t>
            </w:r>
          </w:p>
        </w:tc>
      </w:tr>
      <w:tr w:rsidR="009F451B" w:rsidRPr="000E39F4" w:rsidTr="00032768">
        <w:trPr>
          <w:trHeight w:val="432"/>
          <w:jc w:val="center"/>
        </w:trPr>
        <w:tc>
          <w:tcPr>
            <w:tcW w:w="0" w:type="auto"/>
            <w:vAlign w:val="center"/>
          </w:tcPr>
          <w:p w:rsidR="009F451B" w:rsidRPr="000E39F4" w:rsidRDefault="009F451B" w:rsidP="00CA6B7A">
            <w:pPr>
              <w:jc w:val="both"/>
              <w:rPr>
                <w:rFonts w:ascii="Arial" w:hAnsi="Arial" w:cs="Arial"/>
                <w:lang w:val="es-PR"/>
              </w:rPr>
            </w:pPr>
            <w:r w:rsidRPr="000E39F4">
              <w:rPr>
                <w:rFonts w:ascii="Arial" w:hAnsi="Arial" w:cs="Arial"/>
                <w:lang w:val="es-PR"/>
              </w:rPr>
              <w:t>Personal de Apoyo</w:t>
            </w:r>
          </w:p>
        </w:tc>
        <w:tc>
          <w:tcPr>
            <w:tcW w:w="0" w:type="auto"/>
            <w:vAlign w:val="center"/>
          </w:tcPr>
          <w:p w:rsidR="009F451B" w:rsidRPr="000E39F4" w:rsidRDefault="009F451B" w:rsidP="00032768">
            <w:pPr>
              <w:jc w:val="right"/>
              <w:rPr>
                <w:rFonts w:ascii="Arial" w:hAnsi="Arial" w:cs="Arial"/>
                <w:lang w:val="es-PR"/>
              </w:rPr>
            </w:pPr>
            <w:r w:rsidRPr="000E39F4">
              <w:rPr>
                <w:rFonts w:ascii="Arial" w:hAnsi="Arial" w:cs="Arial"/>
                <w:lang w:val="es-PR"/>
              </w:rPr>
              <w:t>16</w:t>
            </w:r>
          </w:p>
        </w:tc>
        <w:tc>
          <w:tcPr>
            <w:tcW w:w="1151" w:type="dxa"/>
            <w:tcBorders>
              <w:top w:val="nil"/>
              <w:bottom w:val="nil"/>
            </w:tcBorders>
            <w:vAlign w:val="center"/>
          </w:tcPr>
          <w:p w:rsidR="009F451B" w:rsidRPr="000E39F4" w:rsidRDefault="009F451B" w:rsidP="00CA6B7A">
            <w:pPr>
              <w:jc w:val="both"/>
              <w:rPr>
                <w:rFonts w:ascii="Arial" w:hAnsi="Arial" w:cs="Arial"/>
                <w:lang w:val="es-PR"/>
              </w:rPr>
            </w:pPr>
          </w:p>
        </w:tc>
        <w:tc>
          <w:tcPr>
            <w:tcW w:w="0" w:type="auto"/>
            <w:vAlign w:val="center"/>
          </w:tcPr>
          <w:p w:rsidR="009F451B" w:rsidRPr="000E39F4" w:rsidRDefault="009F451B" w:rsidP="00CA6B7A">
            <w:pPr>
              <w:jc w:val="both"/>
              <w:rPr>
                <w:rFonts w:ascii="Arial" w:hAnsi="Arial" w:cs="Arial"/>
                <w:lang w:val="es-PR"/>
              </w:rPr>
            </w:pPr>
            <w:r w:rsidRPr="000E39F4">
              <w:rPr>
                <w:rFonts w:ascii="Arial" w:hAnsi="Arial" w:cs="Arial"/>
                <w:lang w:val="es-PR"/>
              </w:rPr>
              <w:t>Interventores Neutrales</w:t>
            </w:r>
          </w:p>
        </w:tc>
        <w:tc>
          <w:tcPr>
            <w:tcW w:w="0" w:type="auto"/>
            <w:vAlign w:val="center"/>
          </w:tcPr>
          <w:p w:rsidR="009F451B" w:rsidRPr="000E39F4" w:rsidRDefault="009F451B" w:rsidP="00032768">
            <w:pPr>
              <w:jc w:val="right"/>
              <w:rPr>
                <w:rFonts w:ascii="Arial" w:hAnsi="Arial" w:cs="Arial"/>
                <w:lang w:val="es-PR"/>
              </w:rPr>
            </w:pPr>
            <w:r w:rsidRPr="000E39F4">
              <w:rPr>
                <w:rFonts w:ascii="Arial" w:hAnsi="Arial" w:cs="Arial"/>
                <w:lang w:val="es-PR"/>
              </w:rPr>
              <w:t>8</w:t>
            </w:r>
          </w:p>
        </w:tc>
      </w:tr>
      <w:tr w:rsidR="009F451B" w:rsidRPr="000E39F4" w:rsidTr="00032768">
        <w:trPr>
          <w:trHeight w:val="432"/>
          <w:jc w:val="center"/>
        </w:trPr>
        <w:tc>
          <w:tcPr>
            <w:tcW w:w="0" w:type="auto"/>
            <w:vAlign w:val="center"/>
          </w:tcPr>
          <w:p w:rsidR="009F451B" w:rsidRPr="000E39F4" w:rsidRDefault="009F451B" w:rsidP="00CA6B7A">
            <w:pPr>
              <w:jc w:val="both"/>
              <w:rPr>
                <w:rFonts w:ascii="Arial" w:hAnsi="Arial" w:cs="Arial"/>
                <w:lang w:val="es-PR"/>
              </w:rPr>
            </w:pPr>
            <w:r w:rsidRPr="000E39F4">
              <w:rPr>
                <w:rFonts w:ascii="Arial" w:hAnsi="Arial" w:cs="Arial"/>
                <w:lang w:val="es-PR"/>
              </w:rPr>
              <w:t>Recursos Humanos</w:t>
            </w:r>
          </w:p>
        </w:tc>
        <w:tc>
          <w:tcPr>
            <w:tcW w:w="0" w:type="auto"/>
            <w:vAlign w:val="center"/>
          </w:tcPr>
          <w:p w:rsidR="009F451B" w:rsidRPr="000E39F4" w:rsidRDefault="009F451B" w:rsidP="00032768">
            <w:pPr>
              <w:jc w:val="right"/>
              <w:rPr>
                <w:rFonts w:ascii="Arial" w:hAnsi="Arial" w:cs="Arial"/>
                <w:lang w:val="es-PR"/>
              </w:rPr>
            </w:pPr>
            <w:r w:rsidRPr="000E39F4">
              <w:rPr>
                <w:rFonts w:ascii="Arial" w:hAnsi="Arial" w:cs="Arial"/>
                <w:lang w:val="es-PR"/>
              </w:rPr>
              <w:t>1</w:t>
            </w:r>
          </w:p>
        </w:tc>
        <w:tc>
          <w:tcPr>
            <w:tcW w:w="1151" w:type="dxa"/>
            <w:tcBorders>
              <w:top w:val="nil"/>
              <w:bottom w:val="nil"/>
            </w:tcBorders>
            <w:vAlign w:val="center"/>
          </w:tcPr>
          <w:p w:rsidR="009F451B" w:rsidRPr="000E39F4" w:rsidRDefault="009F451B" w:rsidP="00CA6B7A">
            <w:pPr>
              <w:jc w:val="both"/>
              <w:rPr>
                <w:rFonts w:ascii="Arial" w:hAnsi="Arial" w:cs="Arial"/>
                <w:lang w:val="es-PR"/>
              </w:rPr>
            </w:pPr>
          </w:p>
        </w:tc>
        <w:tc>
          <w:tcPr>
            <w:tcW w:w="0" w:type="auto"/>
            <w:vAlign w:val="center"/>
          </w:tcPr>
          <w:p w:rsidR="009F451B" w:rsidRPr="000E39F4" w:rsidRDefault="009F451B" w:rsidP="00CA6B7A">
            <w:pPr>
              <w:jc w:val="both"/>
              <w:rPr>
                <w:rFonts w:ascii="Arial" w:hAnsi="Arial" w:cs="Arial"/>
                <w:lang w:val="es-PR"/>
              </w:rPr>
            </w:pPr>
            <w:r w:rsidRPr="000E39F4">
              <w:rPr>
                <w:rFonts w:ascii="Arial" w:hAnsi="Arial" w:cs="Arial"/>
                <w:lang w:val="es-PR"/>
              </w:rPr>
              <w:t>Oficiales Examinadores</w:t>
            </w:r>
          </w:p>
        </w:tc>
        <w:tc>
          <w:tcPr>
            <w:tcW w:w="0" w:type="auto"/>
            <w:vAlign w:val="center"/>
          </w:tcPr>
          <w:p w:rsidR="009F451B" w:rsidRPr="000E39F4" w:rsidRDefault="009F451B" w:rsidP="00032768">
            <w:pPr>
              <w:jc w:val="right"/>
              <w:rPr>
                <w:rFonts w:ascii="Arial" w:hAnsi="Arial" w:cs="Arial"/>
                <w:lang w:val="es-PR"/>
              </w:rPr>
            </w:pPr>
            <w:r w:rsidRPr="000E39F4">
              <w:rPr>
                <w:rFonts w:ascii="Arial" w:hAnsi="Arial" w:cs="Arial"/>
                <w:lang w:val="es-PR"/>
              </w:rPr>
              <w:t>5</w:t>
            </w:r>
          </w:p>
        </w:tc>
      </w:tr>
      <w:tr w:rsidR="009F451B" w:rsidRPr="000E39F4" w:rsidTr="00032768">
        <w:trPr>
          <w:trHeight w:val="432"/>
          <w:jc w:val="center"/>
        </w:trPr>
        <w:tc>
          <w:tcPr>
            <w:tcW w:w="0" w:type="auto"/>
            <w:vAlign w:val="center"/>
          </w:tcPr>
          <w:p w:rsidR="009F451B" w:rsidRPr="000E39F4" w:rsidRDefault="009F451B" w:rsidP="00CA6B7A">
            <w:pPr>
              <w:jc w:val="both"/>
              <w:rPr>
                <w:rFonts w:ascii="Arial" w:hAnsi="Arial" w:cs="Arial"/>
                <w:lang w:val="es-PR"/>
              </w:rPr>
            </w:pPr>
            <w:r w:rsidRPr="000E39F4">
              <w:rPr>
                <w:rFonts w:ascii="Arial" w:hAnsi="Arial" w:cs="Arial"/>
                <w:lang w:val="es-PR"/>
              </w:rPr>
              <w:t>Sistemas de Información</w:t>
            </w:r>
          </w:p>
        </w:tc>
        <w:tc>
          <w:tcPr>
            <w:tcW w:w="0" w:type="auto"/>
            <w:vAlign w:val="center"/>
          </w:tcPr>
          <w:p w:rsidR="009F451B" w:rsidRPr="000E39F4" w:rsidRDefault="009F451B" w:rsidP="00032768">
            <w:pPr>
              <w:jc w:val="right"/>
              <w:rPr>
                <w:rFonts w:ascii="Arial" w:hAnsi="Arial" w:cs="Arial"/>
                <w:lang w:val="es-PR"/>
              </w:rPr>
            </w:pPr>
            <w:r w:rsidRPr="000E39F4">
              <w:rPr>
                <w:rFonts w:ascii="Arial" w:hAnsi="Arial" w:cs="Arial"/>
                <w:lang w:val="es-PR"/>
              </w:rPr>
              <w:t>1</w:t>
            </w:r>
          </w:p>
        </w:tc>
        <w:tc>
          <w:tcPr>
            <w:tcW w:w="1151" w:type="dxa"/>
            <w:tcBorders>
              <w:top w:val="nil"/>
              <w:bottom w:val="nil"/>
            </w:tcBorders>
            <w:vAlign w:val="center"/>
          </w:tcPr>
          <w:p w:rsidR="009F451B" w:rsidRPr="000E39F4" w:rsidRDefault="009F451B" w:rsidP="00CA6B7A">
            <w:pPr>
              <w:jc w:val="both"/>
              <w:rPr>
                <w:rFonts w:ascii="Arial" w:hAnsi="Arial" w:cs="Arial"/>
                <w:lang w:val="es-PR"/>
              </w:rPr>
            </w:pPr>
          </w:p>
        </w:tc>
        <w:tc>
          <w:tcPr>
            <w:tcW w:w="0" w:type="auto"/>
            <w:vAlign w:val="center"/>
          </w:tcPr>
          <w:p w:rsidR="009F451B" w:rsidRPr="000E39F4" w:rsidRDefault="009F451B" w:rsidP="00CA6B7A">
            <w:pPr>
              <w:jc w:val="both"/>
              <w:rPr>
                <w:rFonts w:ascii="Arial" w:hAnsi="Arial" w:cs="Arial"/>
                <w:lang w:val="es-PR"/>
              </w:rPr>
            </w:pPr>
          </w:p>
        </w:tc>
        <w:tc>
          <w:tcPr>
            <w:tcW w:w="0" w:type="auto"/>
            <w:vAlign w:val="center"/>
          </w:tcPr>
          <w:p w:rsidR="009F451B" w:rsidRPr="000E39F4" w:rsidRDefault="009F451B" w:rsidP="00CA6B7A">
            <w:pPr>
              <w:jc w:val="both"/>
              <w:rPr>
                <w:rFonts w:ascii="Arial" w:hAnsi="Arial" w:cs="Arial"/>
                <w:lang w:val="es-PR"/>
              </w:rPr>
            </w:pPr>
          </w:p>
        </w:tc>
      </w:tr>
    </w:tbl>
    <w:p w:rsidR="00CA6B7A" w:rsidRPr="000E39F4" w:rsidRDefault="00CA6B7A" w:rsidP="00CA6B7A">
      <w:pPr>
        <w:autoSpaceDE w:val="0"/>
        <w:autoSpaceDN w:val="0"/>
        <w:adjustRightInd w:val="0"/>
        <w:spacing w:after="120"/>
        <w:jc w:val="both"/>
        <w:rPr>
          <w:rFonts w:ascii="Arial" w:hAnsi="Arial" w:cs="Arial"/>
          <w:lang w:val="es-PR"/>
        </w:rPr>
      </w:pPr>
    </w:p>
    <w:p w:rsidR="009F451B" w:rsidRPr="000E39F4" w:rsidRDefault="00951EE0" w:rsidP="00CA6B7A">
      <w:pPr>
        <w:autoSpaceDE w:val="0"/>
        <w:autoSpaceDN w:val="0"/>
        <w:adjustRightInd w:val="0"/>
        <w:spacing w:after="120"/>
        <w:jc w:val="both"/>
        <w:rPr>
          <w:rFonts w:ascii="Arial" w:hAnsi="Arial" w:cs="Arial"/>
          <w:lang w:val="es-PR"/>
        </w:rPr>
      </w:pPr>
      <w:r w:rsidRPr="000E39F4">
        <w:rPr>
          <w:rFonts w:ascii="Arial" w:hAnsi="Arial" w:cs="Arial"/>
          <w:lang w:val="es-PR"/>
        </w:rPr>
        <w:lastRenderedPageBreak/>
        <w:t>El presupuesto</w:t>
      </w:r>
      <w:r w:rsidR="009F451B" w:rsidRPr="000E39F4">
        <w:rPr>
          <w:rFonts w:ascii="Arial" w:hAnsi="Arial" w:cs="Arial"/>
          <w:lang w:val="es-PR"/>
        </w:rPr>
        <w:t xml:space="preserve"> asignado a la CASP desde el Año Fiscal 2012-13 al presente ha sido el siguiente:</w:t>
      </w:r>
    </w:p>
    <w:tbl>
      <w:tblPr>
        <w:tblStyle w:val="TableGrid"/>
        <w:tblW w:w="0" w:type="auto"/>
        <w:jc w:val="center"/>
        <w:tblLook w:val="04A0" w:firstRow="1" w:lastRow="0" w:firstColumn="1" w:lastColumn="0" w:noHBand="0" w:noVBand="1"/>
      </w:tblPr>
      <w:tblGrid>
        <w:gridCol w:w="1484"/>
        <w:gridCol w:w="1484"/>
        <w:gridCol w:w="1484"/>
        <w:gridCol w:w="1484"/>
        <w:gridCol w:w="1484"/>
      </w:tblGrid>
      <w:tr w:rsidR="00B74EDA" w:rsidRPr="000E39F4" w:rsidTr="001D46CE">
        <w:trPr>
          <w:trHeight w:val="432"/>
          <w:jc w:val="center"/>
        </w:trPr>
        <w:tc>
          <w:tcPr>
            <w:tcW w:w="0" w:type="auto"/>
            <w:vAlign w:val="center"/>
          </w:tcPr>
          <w:p w:rsidR="00B74EDA" w:rsidRPr="000E39F4" w:rsidRDefault="00B74EDA" w:rsidP="001D46CE">
            <w:pPr>
              <w:autoSpaceDE w:val="0"/>
              <w:autoSpaceDN w:val="0"/>
              <w:adjustRightInd w:val="0"/>
              <w:jc w:val="center"/>
              <w:rPr>
                <w:rFonts w:ascii="Arial" w:hAnsi="Arial" w:cs="Arial"/>
                <w:b/>
                <w:lang w:val="es-PR"/>
              </w:rPr>
            </w:pPr>
            <w:r w:rsidRPr="000E39F4">
              <w:rPr>
                <w:rFonts w:ascii="Arial" w:hAnsi="Arial" w:cs="Arial"/>
                <w:b/>
                <w:lang w:val="es-PR"/>
              </w:rPr>
              <w:t>AF 2012-13</w:t>
            </w:r>
          </w:p>
        </w:tc>
        <w:tc>
          <w:tcPr>
            <w:tcW w:w="0" w:type="auto"/>
            <w:vAlign w:val="center"/>
          </w:tcPr>
          <w:p w:rsidR="00B74EDA" w:rsidRPr="000E39F4" w:rsidRDefault="00B74EDA" w:rsidP="001D46CE">
            <w:pPr>
              <w:autoSpaceDE w:val="0"/>
              <w:autoSpaceDN w:val="0"/>
              <w:adjustRightInd w:val="0"/>
              <w:jc w:val="center"/>
              <w:rPr>
                <w:rFonts w:ascii="Arial" w:hAnsi="Arial" w:cs="Arial"/>
                <w:b/>
                <w:lang w:val="es-PR"/>
              </w:rPr>
            </w:pPr>
            <w:r w:rsidRPr="000E39F4">
              <w:rPr>
                <w:rFonts w:ascii="Arial" w:hAnsi="Arial" w:cs="Arial"/>
                <w:b/>
                <w:lang w:val="es-PR"/>
              </w:rPr>
              <w:t>AF 2013-14</w:t>
            </w:r>
          </w:p>
        </w:tc>
        <w:tc>
          <w:tcPr>
            <w:tcW w:w="0" w:type="auto"/>
            <w:vAlign w:val="center"/>
          </w:tcPr>
          <w:p w:rsidR="00B74EDA" w:rsidRPr="000E39F4" w:rsidRDefault="00B74EDA" w:rsidP="001D46CE">
            <w:pPr>
              <w:autoSpaceDE w:val="0"/>
              <w:autoSpaceDN w:val="0"/>
              <w:adjustRightInd w:val="0"/>
              <w:jc w:val="center"/>
              <w:rPr>
                <w:rFonts w:ascii="Arial" w:hAnsi="Arial" w:cs="Arial"/>
                <w:b/>
                <w:lang w:val="es-PR"/>
              </w:rPr>
            </w:pPr>
            <w:r w:rsidRPr="000E39F4">
              <w:rPr>
                <w:rFonts w:ascii="Arial" w:hAnsi="Arial" w:cs="Arial"/>
                <w:b/>
                <w:lang w:val="es-PR"/>
              </w:rPr>
              <w:t>AF 2014-15</w:t>
            </w:r>
          </w:p>
        </w:tc>
        <w:tc>
          <w:tcPr>
            <w:tcW w:w="0" w:type="auto"/>
            <w:vAlign w:val="center"/>
          </w:tcPr>
          <w:p w:rsidR="00B74EDA" w:rsidRPr="000E39F4" w:rsidRDefault="00B74EDA" w:rsidP="001D46CE">
            <w:pPr>
              <w:autoSpaceDE w:val="0"/>
              <w:autoSpaceDN w:val="0"/>
              <w:adjustRightInd w:val="0"/>
              <w:jc w:val="center"/>
              <w:rPr>
                <w:rFonts w:ascii="Arial" w:hAnsi="Arial" w:cs="Arial"/>
                <w:b/>
                <w:lang w:val="es-PR"/>
              </w:rPr>
            </w:pPr>
            <w:r w:rsidRPr="000E39F4">
              <w:rPr>
                <w:rFonts w:ascii="Arial" w:hAnsi="Arial" w:cs="Arial"/>
                <w:b/>
                <w:lang w:val="es-PR"/>
              </w:rPr>
              <w:t>AF 2015-16</w:t>
            </w:r>
          </w:p>
        </w:tc>
        <w:tc>
          <w:tcPr>
            <w:tcW w:w="0" w:type="auto"/>
            <w:vAlign w:val="center"/>
          </w:tcPr>
          <w:p w:rsidR="00B74EDA" w:rsidRPr="000E39F4" w:rsidRDefault="00B74EDA" w:rsidP="001D46CE">
            <w:pPr>
              <w:autoSpaceDE w:val="0"/>
              <w:autoSpaceDN w:val="0"/>
              <w:adjustRightInd w:val="0"/>
              <w:jc w:val="center"/>
              <w:rPr>
                <w:rFonts w:ascii="Arial" w:hAnsi="Arial" w:cs="Arial"/>
                <w:b/>
                <w:lang w:val="es-PR"/>
              </w:rPr>
            </w:pPr>
            <w:r w:rsidRPr="000E39F4">
              <w:rPr>
                <w:rFonts w:ascii="Arial" w:hAnsi="Arial" w:cs="Arial"/>
                <w:b/>
                <w:lang w:val="es-PR"/>
              </w:rPr>
              <w:t>AF 2016-17</w:t>
            </w:r>
          </w:p>
        </w:tc>
      </w:tr>
      <w:tr w:rsidR="00B74EDA" w:rsidRPr="000E39F4" w:rsidTr="001D46CE">
        <w:trPr>
          <w:trHeight w:val="432"/>
          <w:jc w:val="center"/>
        </w:trPr>
        <w:tc>
          <w:tcPr>
            <w:tcW w:w="0" w:type="auto"/>
            <w:vAlign w:val="center"/>
          </w:tcPr>
          <w:p w:rsidR="00B74EDA" w:rsidRPr="000E39F4" w:rsidRDefault="00B74EDA" w:rsidP="001D46CE">
            <w:pPr>
              <w:jc w:val="center"/>
              <w:rPr>
                <w:rFonts w:ascii="Arial" w:hAnsi="Arial" w:cs="Arial"/>
                <w:color w:val="000000"/>
                <w:lang w:val="es-PR"/>
              </w:rPr>
            </w:pPr>
            <w:r w:rsidRPr="000E39F4">
              <w:rPr>
                <w:rFonts w:ascii="Arial" w:hAnsi="Arial" w:cs="Arial"/>
                <w:color w:val="000000"/>
                <w:lang w:val="es-PR"/>
              </w:rPr>
              <w:t>3,982</w:t>
            </w:r>
            <w:r w:rsidR="00032768">
              <w:rPr>
                <w:rFonts w:ascii="Arial" w:hAnsi="Arial" w:cs="Arial"/>
                <w:color w:val="000000"/>
                <w:lang w:val="es-PR"/>
              </w:rPr>
              <w:t>,000</w:t>
            </w:r>
          </w:p>
        </w:tc>
        <w:tc>
          <w:tcPr>
            <w:tcW w:w="0" w:type="auto"/>
            <w:vAlign w:val="center"/>
          </w:tcPr>
          <w:p w:rsidR="00B74EDA" w:rsidRPr="000E39F4" w:rsidRDefault="00B74EDA" w:rsidP="001D46CE">
            <w:pPr>
              <w:jc w:val="center"/>
              <w:rPr>
                <w:rFonts w:ascii="Arial" w:hAnsi="Arial" w:cs="Arial"/>
                <w:color w:val="000000"/>
                <w:lang w:val="es-PR"/>
              </w:rPr>
            </w:pPr>
            <w:r w:rsidRPr="000E39F4">
              <w:rPr>
                <w:rFonts w:ascii="Arial" w:hAnsi="Arial" w:cs="Arial"/>
                <w:color w:val="000000"/>
                <w:lang w:val="es-PR"/>
              </w:rPr>
              <w:t>3,963</w:t>
            </w:r>
            <w:r w:rsidR="00032768">
              <w:rPr>
                <w:rFonts w:ascii="Arial" w:hAnsi="Arial" w:cs="Arial"/>
                <w:color w:val="000000"/>
                <w:lang w:val="es-PR"/>
              </w:rPr>
              <w:t>,000</w:t>
            </w:r>
          </w:p>
        </w:tc>
        <w:tc>
          <w:tcPr>
            <w:tcW w:w="0" w:type="auto"/>
            <w:vAlign w:val="center"/>
          </w:tcPr>
          <w:p w:rsidR="00B74EDA" w:rsidRPr="000E39F4" w:rsidRDefault="00B74EDA" w:rsidP="001D46CE">
            <w:pPr>
              <w:jc w:val="center"/>
              <w:rPr>
                <w:rFonts w:ascii="Arial" w:hAnsi="Arial" w:cs="Arial"/>
                <w:color w:val="000000"/>
                <w:lang w:val="es-PR"/>
              </w:rPr>
            </w:pPr>
            <w:r w:rsidRPr="000E39F4">
              <w:rPr>
                <w:rFonts w:ascii="Arial" w:hAnsi="Arial" w:cs="Arial"/>
                <w:color w:val="000000"/>
                <w:lang w:val="es-PR"/>
              </w:rPr>
              <w:t>3,534</w:t>
            </w:r>
            <w:r w:rsidR="00032768">
              <w:rPr>
                <w:rFonts w:ascii="Arial" w:hAnsi="Arial" w:cs="Arial"/>
                <w:color w:val="000000"/>
                <w:lang w:val="es-PR"/>
              </w:rPr>
              <w:t>,000</w:t>
            </w:r>
          </w:p>
        </w:tc>
        <w:tc>
          <w:tcPr>
            <w:tcW w:w="0" w:type="auto"/>
            <w:vAlign w:val="center"/>
          </w:tcPr>
          <w:p w:rsidR="00B74EDA" w:rsidRPr="000E39F4" w:rsidRDefault="00B74EDA" w:rsidP="001D46CE">
            <w:pPr>
              <w:jc w:val="center"/>
              <w:rPr>
                <w:rFonts w:ascii="Arial" w:hAnsi="Arial" w:cs="Arial"/>
                <w:color w:val="000000"/>
                <w:lang w:val="es-PR"/>
              </w:rPr>
            </w:pPr>
            <w:r w:rsidRPr="000E39F4">
              <w:rPr>
                <w:rFonts w:ascii="Arial" w:hAnsi="Arial" w:cs="Arial"/>
                <w:color w:val="000000"/>
                <w:lang w:val="es-PR"/>
              </w:rPr>
              <w:t>3,258</w:t>
            </w:r>
            <w:r w:rsidR="00032768">
              <w:rPr>
                <w:rFonts w:ascii="Arial" w:hAnsi="Arial" w:cs="Arial"/>
                <w:color w:val="000000"/>
                <w:lang w:val="es-PR"/>
              </w:rPr>
              <w:t>,000</w:t>
            </w:r>
          </w:p>
        </w:tc>
        <w:tc>
          <w:tcPr>
            <w:tcW w:w="0" w:type="auto"/>
            <w:vAlign w:val="center"/>
          </w:tcPr>
          <w:p w:rsidR="00B74EDA" w:rsidRPr="000E39F4" w:rsidRDefault="00B74EDA" w:rsidP="001D46CE">
            <w:pPr>
              <w:jc w:val="center"/>
              <w:rPr>
                <w:rFonts w:ascii="Arial" w:hAnsi="Arial" w:cs="Arial"/>
                <w:color w:val="000000"/>
                <w:lang w:val="es-PR"/>
              </w:rPr>
            </w:pPr>
            <w:r w:rsidRPr="000E39F4">
              <w:rPr>
                <w:rFonts w:ascii="Arial" w:hAnsi="Arial" w:cs="Arial"/>
                <w:color w:val="000000"/>
                <w:lang w:val="es-PR"/>
              </w:rPr>
              <w:t>3,031</w:t>
            </w:r>
            <w:r w:rsidR="00032768">
              <w:rPr>
                <w:rFonts w:ascii="Arial" w:hAnsi="Arial" w:cs="Arial"/>
                <w:color w:val="000000"/>
                <w:lang w:val="es-PR"/>
              </w:rPr>
              <w:t>,000</w:t>
            </w:r>
          </w:p>
        </w:tc>
      </w:tr>
    </w:tbl>
    <w:p w:rsidR="000F5FAC" w:rsidRPr="000E39F4" w:rsidRDefault="00B74EDA" w:rsidP="00CA6B7A">
      <w:pPr>
        <w:autoSpaceDE w:val="0"/>
        <w:autoSpaceDN w:val="0"/>
        <w:adjustRightInd w:val="0"/>
        <w:spacing w:after="120"/>
        <w:jc w:val="both"/>
        <w:rPr>
          <w:rFonts w:ascii="Arial" w:hAnsi="Arial" w:cs="Arial"/>
          <w:lang w:val="es-PR"/>
        </w:rPr>
      </w:pPr>
      <w:r w:rsidRPr="000E39F4">
        <w:rPr>
          <w:rFonts w:ascii="Arial" w:hAnsi="Arial" w:cs="Arial"/>
          <w:lang w:val="es-PR"/>
        </w:rPr>
        <w:t>Esta reducción de presupuesto unido a las limitaciones constantes</w:t>
      </w:r>
      <w:r w:rsidR="000F5FAC" w:rsidRPr="000E39F4">
        <w:rPr>
          <w:rFonts w:ascii="Arial" w:hAnsi="Arial" w:cs="Arial"/>
          <w:lang w:val="es-PR"/>
        </w:rPr>
        <w:t xml:space="preserve"> a los planteamientos que realiza la agencia</w:t>
      </w:r>
      <w:r w:rsidRPr="000E39F4">
        <w:rPr>
          <w:rFonts w:ascii="Arial" w:hAnsi="Arial" w:cs="Arial"/>
          <w:lang w:val="es-PR"/>
        </w:rPr>
        <w:t xml:space="preserve"> por parte de la Oficina </w:t>
      </w:r>
      <w:r w:rsidR="000F5FAC" w:rsidRPr="000E39F4">
        <w:rPr>
          <w:rFonts w:ascii="Arial" w:hAnsi="Arial" w:cs="Arial"/>
          <w:lang w:val="es-PR"/>
        </w:rPr>
        <w:t>de Gerencia y Presupuesto</w:t>
      </w:r>
      <w:r w:rsidRPr="000E39F4">
        <w:rPr>
          <w:rFonts w:ascii="Arial" w:hAnsi="Arial" w:cs="Arial"/>
          <w:lang w:val="es-PR"/>
        </w:rPr>
        <w:t xml:space="preserve"> no ha</w:t>
      </w:r>
      <w:r w:rsidR="000F5FAC" w:rsidRPr="000E39F4">
        <w:rPr>
          <w:rFonts w:ascii="Arial" w:hAnsi="Arial" w:cs="Arial"/>
          <w:lang w:val="es-PR"/>
        </w:rPr>
        <w:t>n</w:t>
      </w:r>
      <w:r w:rsidRPr="000E39F4">
        <w:rPr>
          <w:rFonts w:ascii="Arial" w:hAnsi="Arial" w:cs="Arial"/>
          <w:lang w:val="es-PR"/>
        </w:rPr>
        <w:t xml:space="preserve"> permitido que la </w:t>
      </w:r>
      <w:r w:rsidR="000F5FAC" w:rsidRPr="000E39F4">
        <w:rPr>
          <w:rFonts w:ascii="Arial" w:hAnsi="Arial" w:cs="Arial"/>
          <w:lang w:val="es-PR"/>
        </w:rPr>
        <w:t>agencia haya podido realizar cambios sustanciales en su operación.  No obstante, la Comisión ha sido consistente en llevar a cabo su función principal: adjudicación de casos relacionados al principio de mérito y a las relaciones obrero patronales en la Rama Ejecutiva.</w:t>
      </w:r>
    </w:p>
    <w:p w:rsidR="000F5FAC" w:rsidRPr="000E39F4" w:rsidRDefault="000F5FAC" w:rsidP="00CA6B7A">
      <w:pPr>
        <w:spacing w:after="120"/>
        <w:jc w:val="both"/>
        <w:rPr>
          <w:rFonts w:ascii="Arial" w:hAnsi="Arial" w:cs="Arial"/>
          <w:b/>
          <w:lang w:val="es-PR"/>
        </w:rPr>
      </w:pPr>
      <w:r w:rsidRPr="000E39F4">
        <w:rPr>
          <w:rFonts w:ascii="Arial" w:hAnsi="Arial" w:cs="Arial"/>
          <w:b/>
          <w:lang w:val="es-PR"/>
        </w:rPr>
        <w:t>II.  Base Legal</w:t>
      </w:r>
      <w:r w:rsidR="00CA6B7A" w:rsidRPr="000E39F4">
        <w:rPr>
          <w:rFonts w:ascii="Arial" w:hAnsi="Arial" w:cs="Arial"/>
          <w:b/>
          <w:lang w:val="es-PR"/>
        </w:rPr>
        <w:t>, Legislación y Acciones Judiciales</w:t>
      </w:r>
    </w:p>
    <w:p w:rsidR="000F5FAC" w:rsidRPr="000E39F4" w:rsidRDefault="000F5FAC" w:rsidP="00CA6B7A">
      <w:pPr>
        <w:spacing w:after="120"/>
        <w:jc w:val="both"/>
        <w:rPr>
          <w:rStyle w:val="contenido1"/>
          <w:rFonts w:ascii="Arial" w:hAnsi="Arial" w:cs="Arial"/>
          <w:sz w:val="24"/>
          <w:szCs w:val="24"/>
          <w:lang w:val="es-PR"/>
        </w:rPr>
      </w:pPr>
      <w:r w:rsidRPr="000E39F4">
        <w:rPr>
          <w:rStyle w:val="contenido1"/>
          <w:rFonts w:ascii="Arial" w:hAnsi="Arial" w:cs="Arial"/>
          <w:sz w:val="24"/>
          <w:szCs w:val="24"/>
          <w:lang w:val="es-PR"/>
        </w:rPr>
        <w:t xml:space="preserve">El 26 de julio de 2010, mediante la puesta en vigor del Plan de Reorganización Núm. 2, el cual fusionó la Comisión Apelativa del Sistema de Administración de Recursos Humanos </w:t>
      </w:r>
      <w:r w:rsidR="00CA6B7A" w:rsidRPr="000E39F4">
        <w:rPr>
          <w:rStyle w:val="contenido1"/>
          <w:rFonts w:ascii="Arial" w:hAnsi="Arial" w:cs="Arial"/>
          <w:sz w:val="24"/>
          <w:szCs w:val="24"/>
          <w:lang w:val="es-PR"/>
        </w:rPr>
        <w:t xml:space="preserve">(CASARH) </w:t>
      </w:r>
      <w:r w:rsidRPr="000E39F4">
        <w:rPr>
          <w:rStyle w:val="contenido1"/>
          <w:rFonts w:ascii="Arial" w:hAnsi="Arial" w:cs="Arial"/>
          <w:sz w:val="24"/>
          <w:szCs w:val="24"/>
          <w:lang w:val="es-PR"/>
        </w:rPr>
        <w:t>y la Comisión de Relaciones del Trabajo del Servicio Público</w:t>
      </w:r>
      <w:r w:rsidR="00CA6B7A" w:rsidRPr="000E39F4">
        <w:rPr>
          <w:rStyle w:val="contenido1"/>
          <w:rFonts w:ascii="Arial" w:hAnsi="Arial" w:cs="Arial"/>
          <w:sz w:val="24"/>
          <w:szCs w:val="24"/>
          <w:lang w:val="es-PR"/>
        </w:rPr>
        <w:t xml:space="preserve"> (CRTSP)</w:t>
      </w:r>
      <w:r w:rsidRPr="000E39F4">
        <w:rPr>
          <w:rStyle w:val="contenido1"/>
          <w:rFonts w:ascii="Arial" w:hAnsi="Arial" w:cs="Arial"/>
          <w:sz w:val="24"/>
          <w:szCs w:val="24"/>
          <w:lang w:val="es-PR"/>
        </w:rPr>
        <w:t>, se creó la CASP.  La CASP entró en funciones el 24 de noviembre de 2010.</w:t>
      </w:r>
    </w:p>
    <w:p w:rsidR="00F5150A" w:rsidRPr="000E39F4" w:rsidRDefault="00317669" w:rsidP="00CA6B7A">
      <w:pPr>
        <w:spacing w:after="120"/>
        <w:jc w:val="both"/>
        <w:rPr>
          <w:rStyle w:val="contenido1"/>
          <w:rFonts w:ascii="Arial" w:hAnsi="Arial" w:cs="Arial"/>
          <w:sz w:val="24"/>
          <w:szCs w:val="24"/>
          <w:lang w:val="es-PR"/>
        </w:rPr>
      </w:pPr>
      <w:r w:rsidRPr="000E39F4">
        <w:rPr>
          <w:rStyle w:val="contenido1"/>
          <w:rFonts w:ascii="Arial" w:hAnsi="Arial" w:cs="Arial"/>
          <w:sz w:val="24"/>
          <w:szCs w:val="24"/>
          <w:lang w:val="es-PR"/>
        </w:rPr>
        <w:t>Durante este cuatrienio, diez (10) leyes han impactado directa o indirectamente las operaciones de la CASP. (Ver Informe de Leyes Aprobadas)  Directamente, las disposiciones de la Ley Núm. 66-2014, s.e., sobre la utilización y manejo de los fondos de la CASP</w:t>
      </w:r>
      <w:r w:rsidR="00CA6B7A" w:rsidRPr="000E39F4">
        <w:rPr>
          <w:rStyle w:val="contenido1"/>
          <w:rFonts w:ascii="Arial" w:hAnsi="Arial" w:cs="Arial"/>
          <w:sz w:val="24"/>
          <w:szCs w:val="24"/>
          <w:lang w:val="es-PR"/>
        </w:rPr>
        <w:t xml:space="preserve"> han afectado las contrataciones de personal y las herramientas de motivación y reconocimiento de empleados</w:t>
      </w:r>
      <w:r w:rsidRPr="000E39F4">
        <w:rPr>
          <w:rStyle w:val="contenido1"/>
          <w:rFonts w:ascii="Arial" w:hAnsi="Arial" w:cs="Arial"/>
          <w:sz w:val="24"/>
          <w:szCs w:val="24"/>
          <w:lang w:val="es-PR"/>
        </w:rPr>
        <w:t xml:space="preserve">.  </w:t>
      </w:r>
      <w:r w:rsidR="00CA6B7A" w:rsidRPr="000E39F4">
        <w:rPr>
          <w:rStyle w:val="contenido1"/>
          <w:rFonts w:ascii="Arial" w:hAnsi="Arial" w:cs="Arial"/>
          <w:sz w:val="24"/>
          <w:szCs w:val="24"/>
          <w:lang w:val="es-PR"/>
        </w:rPr>
        <w:t xml:space="preserve">Por otro lado, dicha ley y </w:t>
      </w:r>
      <w:r w:rsidR="00F5150A" w:rsidRPr="000E39F4">
        <w:rPr>
          <w:rStyle w:val="contenido1"/>
          <w:rFonts w:ascii="Arial" w:hAnsi="Arial" w:cs="Arial"/>
          <w:sz w:val="24"/>
          <w:szCs w:val="24"/>
          <w:lang w:val="es-PR"/>
        </w:rPr>
        <w:t xml:space="preserve">el </w:t>
      </w:r>
      <w:r w:rsidRPr="000E39F4">
        <w:rPr>
          <w:rStyle w:val="contenido1"/>
          <w:rFonts w:ascii="Arial" w:hAnsi="Arial" w:cs="Arial"/>
          <w:sz w:val="24"/>
          <w:szCs w:val="24"/>
          <w:lang w:val="es-PR"/>
        </w:rPr>
        <w:t xml:space="preserve">resto de las </w:t>
      </w:r>
      <w:r w:rsidR="00F5150A" w:rsidRPr="000E39F4">
        <w:rPr>
          <w:rStyle w:val="contenido1"/>
          <w:rFonts w:ascii="Arial" w:hAnsi="Arial" w:cs="Arial"/>
          <w:sz w:val="24"/>
          <w:szCs w:val="24"/>
          <w:lang w:val="es-PR"/>
        </w:rPr>
        <w:t xml:space="preserve">enmiendas o </w:t>
      </w:r>
      <w:r w:rsidRPr="000E39F4">
        <w:rPr>
          <w:rStyle w:val="contenido1"/>
          <w:rFonts w:ascii="Arial" w:hAnsi="Arial" w:cs="Arial"/>
          <w:sz w:val="24"/>
          <w:szCs w:val="24"/>
          <w:lang w:val="es-PR"/>
        </w:rPr>
        <w:t>leyes</w:t>
      </w:r>
      <w:r w:rsidR="00F5150A" w:rsidRPr="000E39F4">
        <w:rPr>
          <w:rStyle w:val="contenido1"/>
          <w:rFonts w:ascii="Arial" w:hAnsi="Arial" w:cs="Arial"/>
          <w:sz w:val="24"/>
          <w:szCs w:val="24"/>
          <w:lang w:val="es-PR"/>
        </w:rPr>
        <w:t xml:space="preserve"> nuevas</w:t>
      </w:r>
      <w:r w:rsidRPr="000E39F4">
        <w:rPr>
          <w:rStyle w:val="contenido1"/>
          <w:rFonts w:ascii="Arial" w:hAnsi="Arial" w:cs="Arial"/>
          <w:sz w:val="24"/>
          <w:szCs w:val="24"/>
          <w:lang w:val="es-PR"/>
        </w:rPr>
        <w:t xml:space="preserve"> aprobadas</w:t>
      </w:r>
      <w:r w:rsidR="00F5150A" w:rsidRPr="000E39F4">
        <w:rPr>
          <w:rStyle w:val="contenido1"/>
          <w:rFonts w:ascii="Arial" w:hAnsi="Arial" w:cs="Arial"/>
          <w:sz w:val="24"/>
          <w:szCs w:val="24"/>
          <w:lang w:val="es-PR"/>
        </w:rPr>
        <w:t xml:space="preserve"> incluidas en el informe</w:t>
      </w:r>
      <w:r w:rsidRPr="000E39F4">
        <w:rPr>
          <w:rStyle w:val="contenido1"/>
          <w:rFonts w:ascii="Arial" w:hAnsi="Arial" w:cs="Arial"/>
          <w:sz w:val="24"/>
          <w:szCs w:val="24"/>
          <w:lang w:val="es-PR"/>
        </w:rPr>
        <w:t>,</w:t>
      </w:r>
      <w:r w:rsidR="00CA6B7A" w:rsidRPr="000E39F4">
        <w:rPr>
          <w:rStyle w:val="contenido1"/>
          <w:rFonts w:ascii="Arial" w:hAnsi="Arial" w:cs="Arial"/>
          <w:sz w:val="24"/>
          <w:szCs w:val="24"/>
          <w:lang w:val="es-PR"/>
        </w:rPr>
        <w:t xml:space="preserve"> </w:t>
      </w:r>
      <w:r w:rsidR="00F5150A" w:rsidRPr="000E39F4">
        <w:rPr>
          <w:rStyle w:val="contenido1"/>
          <w:rFonts w:ascii="Arial" w:hAnsi="Arial" w:cs="Arial"/>
          <w:sz w:val="24"/>
          <w:szCs w:val="24"/>
          <w:lang w:val="es-PR"/>
        </w:rPr>
        <w:t xml:space="preserve">han </w:t>
      </w:r>
      <w:r w:rsidR="00CA6B7A" w:rsidRPr="000E39F4">
        <w:rPr>
          <w:rStyle w:val="contenido1"/>
          <w:rFonts w:ascii="Arial" w:hAnsi="Arial" w:cs="Arial"/>
          <w:sz w:val="24"/>
          <w:szCs w:val="24"/>
          <w:lang w:val="es-PR"/>
        </w:rPr>
        <w:t>impactado</w:t>
      </w:r>
      <w:r w:rsidR="00F5150A" w:rsidRPr="000E39F4">
        <w:rPr>
          <w:rStyle w:val="contenido1"/>
          <w:rFonts w:ascii="Arial" w:hAnsi="Arial" w:cs="Arial"/>
          <w:sz w:val="24"/>
          <w:szCs w:val="24"/>
          <w:lang w:val="es-PR"/>
        </w:rPr>
        <w:t xml:space="preserve"> los casos que se presentan ante la CASP</w:t>
      </w:r>
      <w:r w:rsidR="00CA6B7A" w:rsidRPr="000E39F4">
        <w:rPr>
          <w:rStyle w:val="contenido1"/>
          <w:rFonts w:ascii="Arial" w:hAnsi="Arial" w:cs="Arial"/>
          <w:sz w:val="24"/>
          <w:szCs w:val="24"/>
          <w:lang w:val="es-PR"/>
        </w:rPr>
        <w:t xml:space="preserve"> promoviendo nuevas causas de acción por violaciones o interpretaciones erróneas por parte de las agencias obligadas </w:t>
      </w:r>
      <w:r w:rsidR="00994F1F">
        <w:rPr>
          <w:rStyle w:val="contenido1"/>
          <w:rFonts w:ascii="Arial" w:hAnsi="Arial" w:cs="Arial"/>
          <w:sz w:val="24"/>
          <w:szCs w:val="24"/>
          <w:lang w:val="es-PR"/>
        </w:rPr>
        <w:t xml:space="preserve">a </w:t>
      </w:r>
      <w:r w:rsidR="00CA6B7A" w:rsidRPr="000E39F4">
        <w:rPr>
          <w:rStyle w:val="contenido1"/>
          <w:rFonts w:ascii="Arial" w:hAnsi="Arial" w:cs="Arial"/>
          <w:sz w:val="24"/>
          <w:szCs w:val="24"/>
          <w:lang w:val="es-PR"/>
        </w:rPr>
        <w:t>cumplir con o asesorar sobre ellas.</w:t>
      </w:r>
    </w:p>
    <w:p w:rsidR="00656CC2" w:rsidRPr="000E39F4" w:rsidRDefault="00CA6B7A" w:rsidP="00CA6B7A">
      <w:pPr>
        <w:spacing w:after="120"/>
        <w:jc w:val="both"/>
        <w:rPr>
          <w:rStyle w:val="contenido1"/>
          <w:rFonts w:ascii="Arial" w:hAnsi="Arial" w:cs="Arial"/>
          <w:sz w:val="24"/>
          <w:szCs w:val="24"/>
          <w:lang w:val="es-PR"/>
        </w:rPr>
      </w:pPr>
      <w:r w:rsidRPr="000E39F4">
        <w:rPr>
          <w:rStyle w:val="contenido1"/>
          <w:rFonts w:ascii="Arial" w:hAnsi="Arial" w:cs="Arial"/>
          <w:sz w:val="24"/>
          <w:szCs w:val="24"/>
          <w:lang w:val="es-PR"/>
        </w:rPr>
        <w:t>La CASP tiene siete (7) acciones judiciales pendientes</w:t>
      </w:r>
      <w:r w:rsidR="00F52265" w:rsidRPr="000E39F4">
        <w:rPr>
          <w:rStyle w:val="contenido1"/>
          <w:rFonts w:ascii="Arial" w:hAnsi="Arial" w:cs="Arial"/>
          <w:sz w:val="24"/>
          <w:szCs w:val="24"/>
          <w:lang w:val="es-PR"/>
        </w:rPr>
        <w:t xml:space="preserve"> en distintos foros (Ver Informe Detalle y Estatus Acciones Judiciales)</w:t>
      </w:r>
      <w:r w:rsidR="00014DD7">
        <w:rPr>
          <w:rStyle w:val="contenido1"/>
          <w:rFonts w:ascii="Arial" w:hAnsi="Arial" w:cs="Arial"/>
          <w:sz w:val="24"/>
          <w:szCs w:val="24"/>
          <w:lang w:val="es-PR"/>
        </w:rPr>
        <w:t>, c</w:t>
      </w:r>
      <w:r w:rsidRPr="000E39F4">
        <w:rPr>
          <w:rStyle w:val="contenido1"/>
          <w:rFonts w:ascii="Arial" w:hAnsi="Arial" w:cs="Arial"/>
          <w:sz w:val="24"/>
          <w:szCs w:val="24"/>
          <w:lang w:val="es-PR"/>
        </w:rPr>
        <w:t>uatro (4) de ellas provienen de la CASARH.  De</w:t>
      </w:r>
      <w:r w:rsidR="00F52265" w:rsidRPr="000E39F4">
        <w:rPr>
          <w:rStyle w:val="contenido1"/>
          <w:rFonts w:ascii="Arial" w:hAnsi="Arial" w:cs="Arial"/>
          <w:sz w:val="24"/>
          <w:szCs w:val="24"/>
          <w:lang w:val="es-PR"/>
        </w:rPr>
        <w:t>l resto</w:t>
      </w:r>
      <w:r w:rsidR="000E736E" w:rsidRPr="000E39F4">
        <w:rPr>
          <w:rStyle w:val="contenido1"/>
          <w:rFonts w:ascii="Arial" w:hAnsi="Arial" w:cs="Arial"/>
          <w:sz w:val="24"/>
          <w:szCs w:val="24"/>
          <w:lang w:val="es-PR"/>
        </w:rPr>
        <w:t xml:space="preserve">, una de ellas está siendo apelada por la OGP, </w:t>
      </w:r>
      <w:proofErr w:type="spellStart"/>
      <w:r w:rsidR="000E736E" w:rsidRPr="000E39F4">
        <w:rPr>
          <w:rStyle w:val="contenido1"/>
          <w:rFonts w:ascii="Arial" w:hAnsi="Arial" w:cs="Arial"/>
          <w:sz w:val="24"/>
          <w:szCs w:val="24"/>
          <w:lang w:val="es-PR"/>
        </w:rPr>
        <w:t>co</w:t>
      </w:r>
      <w:proofErr w:type="spellEnd"/>
      <w:r w:rsidR="000E736E" w:rsidRPr="000E39F4">
        <w:rPr>
          <w:rStyle w:val="contenido1"/>
          <w:rFonts w:ascii="Arial" w:hAnsi="Arial" w:cs="Arial"/>
          <w:sz w:val="24"/>
          <w:szCs w:val="24"/>
          <w:lang w:val="es-PR"/>
        </w:rPr>
        <w:t>-demandada</w:t>
      </w:r>
      <w:r w:rsidR="00F52265" w:rsidRPr="000E39F4">
        <w:rPr>
          <w:rStyle w:val="contenido1"/>
          <w:rFonts w:ascii="Arial" w:hAnsi="Arial" w:cs="Arial"/>
          <w:sz w:val="24"/>
          <w:szCs w:val="24"/>
          <w:lang w:val="es-PR"/>
        </w:rPr>
        <w:t>, a pesar de que la CASP ha desistido de llevar a cabo la apelación.  La cuantía aproximada que totalizan estas acciones asciende a $323,826.24.</w:t>
      </w:r>
    </w:p>
    <w:p w:rsidR="00CA6B7A" w:rsidRPr="000E39F4" w:rsidRDefault="00656CC2" w:rsidP="00CA6B7A">
      <w:pPr>
        <w:spacing w:after="120"/>
        <w:jc w:val="both"/>
        <w:rPr>
          <w:rStyle w:val="contenido1"/>
          <w:rFonts w:ascii="Arial" w:hAnsi="Arial" w:cs="Arial"/>
          <w:sz w:val="24"/>
          <w:szCs w:val="24"/>
          <w:lang w:val="es-PR"/>
        </w:rPr>
      </w:pPr>
      <w:r w:rsidRPr="000E39F4">
        <w:rPr>
          <w:rStyle w:val="contenido1"/>
          <w:rFonts w:ascii="Arial" w:hAnsi="Arial" w:cs="Arial"/>
          <w:sz w:val="24"/>
          <w:szCs w:val="24"/>
          <w:lang w:val="es-PR"/>
        </w:rPr>
        <w:t xml:space="preserve">La CASP también fue objeto de dos (2) investigaciones legislativas (RC 772 y RC 1201) y de una posible fusión (PC 1906/PS 1076).  La CASP proveyó a la legislatura toda la información solicitada en ambas resoluciones investigativas, así como también participó del proceso de </w:t>
      </w:r>
      <w:r w:rsidR="00014DD7" w:rsidRPr="000E39F4">
        <w:rPr>
          <w:rStyle w:val="contenido1"/>
          <w:rFonts w:ascii="Arial" w:hAnsi="Arial" w:cs="Arial"/>
          <w:sz w:val="24"/>
          <w:szCs w:val="24"/>
          <w:lang w:val="es-PR"/>
        </w:rPr>
        <w:t>vistas</w:t>
      </w:r>
      <w:r w:rsidRPr="000E39F4">
        <w:rPr>
          <w:rStyle w:val="contenido1"/>
          <w:rFonts w:ascii="Arial" w:hAnsi="Arial" w:cs="Arial"/>
          <w:sz w:val="24"/>
          <w:szCs w:val="24"/>
          <w:lang w:val="es-PR"/>
        </w:rPr>
        <w:t xml:space="preserve"> públicas relacionadas a los proyectos de fusión.  Para esto último, la CASP hizo las recomendaciones pertinentes para que la misma no socavara la autonomía adjudicativa que estuvo amenazada por los proyectos originales según fueron presentados.  Los proyectos fueron finalmente retirados por su autor.  Se desconoce el resultado de las resoluciones de investigación de la Cámara de Representantes.</w:t>
      </w:r>
      <w:r w:rsidR="000E736E" w:rsidRPr="000E39F4">
        <w:rPr>
          <w:rStyle w:val="contenido1"/>
          <w:rFonts w:ascii="Arial" w:hAnsi="Arial" w:cs="Arial"/>
          <w:sz w:val="24"/>
          <w:szCs w:val="24"/>
          <w:lang w:val="es-PR"/>
        </w:rPr>
        <w:t xml:space="preserve"> </w:t>
      </w:r>
    </w:p>
    <w:p w:rsidR="00F5150A" w:rsidRPr="000E39F4" w:rsidRDefault="00F52265" w:rsidP="00CA6B7A">
      <w:pPr>
        <w:spacing w:after="120"/>
        <w:jc w:val="both"/>
        <w:rPr>
          <w:rStyle w:val="contenido1"/>
          <w:rFonts w:ascii="Arial" w:hAnsi="Arial" w:cs="Arial"/>
          <w:b/>
          <w:sz w:val="24"/>
          <w:szCs w:val="24"/>
          <w:lang w:val="es-PR"/>
        </w:rPr>
      </w:pPr>
      <w:r w:rsidRPr="000E39F4">
        <w:rPr>
          <w:rStyle w:val="contenido1"/>
          <w:rFonts w:ascii="Arial" w:hAnsi="Arial" w:cs="Arial"/>
          <w:b/>
          <w:sz w:val="24"/>
          <w:szCs w:val="24"/>
          <w:lang w:val="es-PR"/>
        </w:rPr>
        <w:t>III. Situación Financiera</w:t>
      </w:r>
    </w:p>
    <w:p w:rsidR="00F52265" w:rsidRPr="000E39F4" w:rsidRDefault="00F52265" w:rsidP="00F52265">
      <w:pPr>
        <w:spacing w:before="120" w:after="120" w:line="23" w:lineRule="atLeast"/>
        <w:jc w:val="both"/>
        <w:rPr>
          <w:rFonts w:ascii="Arial" w:hAnsi="Arial" w:cs="Arial"/>
          <w:lang w:val="es-PR"/>
        </w:rPr>
      </w:pPr>
      <w:r w:rsidRPr="000E39F4">
        <w:rPr>
          <w:rFonts w:ascii="Arial" w:hAnsi="Arial" w:cs="Arial"/>
          <w:lang w:val="es-PR"/>
        </w:rPr>
        <w:t xml:space="preserve">La reducción presupuestaria impuesta por la OGP y la legislatura para este año fiscal colocó a la CASP en una situación precaria.  Año tras año, la CASP ha realizado ajustes en sus gastos manteniendo un nivel de eficiencia mayor al que tenían la CASARH y la </w:t>
      </w:r>
      <w:r w:rsidRPr="000E39F4">
        <w:rPr>
          <w:rFonts w:ascii="Arial" w:hAnsi="Arial" w:cs="Arial"/>
          <w:lang w:val="es-PR"/>
        </w:rPr>
        <w:lastRenderedPageBreak/>
        <w:t xml:space="preserve">CRTSP antes de la fusión.  Esto, a pesar de contar con menos empleados y atender mayor número de casos.  De hecho, durante el último año fiscal, se celebró la elección sindical más grande y compleja del servicio público; la elección de la unidad apropiada de maestros y personal docente del Departamento de Educación.  El gasto aproximado de esta elección ascendió a $10,113 </w:t>
      </w:r>
      <w:proofErr w:type="spellStart"/>
      <w:r w:rsidRPr="000E39F4">
        <w:rPr>
          <w:rFonts w:ascii="Arial" w:hAnsi="Arial" w:cs="Arial"/>
          <w:lang w:val="es-PR"/>
        </w:rPr>
        <w:t>ó</w:t>
      </w:r>
      <w:proofErr w:type="spellEnd"/>
      <w:r w:rsidRPr="000E39F4">
        <w:rPr>
          <w:rFonts w:ascii="Arial" w:hAnsi="Arial" w:cs="Arial"/>
          <w:lang w:val="es-PR"/>
        </w:rPr>
        <w:t xml:space="preserve"> 80% menos que la última elección de esta magnitud celebrada en Puerto Rico.  Desde su creación</w:t>
      </w:r>
      <w:r w:rsidR="004118F3">
        <w:rPr>
          <w:rFonts w:ascii="Arial" w:hAnsi="Arial" w:cs="Arial"/>
          <w:lang w:val="es-PR"/>
        </w:rPr>
        <w:t>,</w:t>
      </w:r>
      <w:r w:rsidRPr="000E39F4">
        <w:rPr>
          <w:rFonts w:ascii="Arial" w:hAnsi="Arial" w:cs="Arial"/>
          <w:lang w:val="es-PR"/>
        </w:rPr>
        <w:t xml:space="preserve"> hace casi seis años atrás, la CASP ha devuelto al fondo general aproximadamente $1</w:t>
      </w:r>
      <w:r w:rsidR="00801A19" w:rsidRPr="000E39F4">
        <w:rPr>
          <w:rFonts w:ascii="Arial" w:hAnsi="Arial" w:cs="Arial"/>
          <w:lang w:val="es-PR"/>
        </w:rPr>
        <w:t>, 992,980</w:t>
      </w:r>
      <w:r w:rsidRPr="000E39F4">
        <w:rPr>
          <w:rFonts w:ascii="Arial" w:hAnsi="Arial" w:cs="Arial"/>
          <w:lang w:val="es-PR"/>
        </w:rPr>
        <w:t xml:space="preserve">.  Esto a expensas de mejores facilidades, mejor tecnología y mejores condiciones de trabajo para sus empleados.  Claro, no ha sido accidente; la falta de consideración por parte de la OGP hacia los proyectos de la CASP mediante la </w:t>
      </w:r>
      <w:r w:rsidR="00801A19" w:rsidRPr="000E39F4">
        <w:rPr>
          <w:rFonts w:ascii="Arial" w:hAnsi="Arial" w:cs="Arial"/>
          <w:lang w:val="es-PR"/>
        </w:rPr>
        <w:t xml:space="preserve">recomendación de presupuestos reducidos, la congelación de presupuestos aprobados y </w:t>
      </w:r>
      <w:r w:rsidRPr="000E39F4">
        <w:rPr>
          <w:rFonts w:ascii="Arial" w:hAnsi="Arial" w:cs="Arial"/>
          <w:lang w:val="es-PR"/>
        </w:rPr>
        <w:t>la no aprobación de planteamientos encaminados a mejorar la eficiencia de la CASP, año tras año, ponen en precario la atención de los casos ante la CASP con la celeridad mínima que requiere la Ley.</w:t>
      </w:r>
      <w:r w:rsidR="00801A19" w:rsidRPr="000E39F4">
        <w:rPr>
          <w:rFonts w:ascii="Arial" w:hAnsi="Arial" w:cs="Arial"/>
          <w:lang w:val="es-PR"/>
        </w:rPr>
        <w:t xml:space="preserve">  Este trato ha culminado en el hecho ineludible de que este año fiscal, por primera vez desde su creación, la CASP proyecta un déficit presupuestario</w:t>
      </w:r>
      <w:r w:rsidR="00720E6B" w:rsidRPr="000E39F4">
        <w:rPr>
          <w:rFonts w:ascii="Arial" w:hAnsi="Arial" w:cs="Arial"/>
          <w:lang w:val="es-PR"/>
        </w:rPr>
        <w:t xml:space="preserve"> (Ver Informe Financiero).</w:t>
      </w:r>
      <w:r w:rsidR="0062321D" w:rsidRPr="000E39F4">
        <w:rPr>
          <w:rFonts w:ascii="Arial" w:hAnsi="Arial" w:cs="Arial"/>
          <w:lang w:val="es-PR"/>
        </w:rPr>
        <w:t xml:space="preserve">  No obstante, la CASP ha mantenido un nivel de resolución de casos mayor que al de las previas agencias a pesar de la reducción sustancial en personal y presupuesto a la que ha sido sometida.</w:t>
      </w:r>
    </w:p>
    <w:p w:rsidR="00F5150A" w:rsidRPr="000E39F4" w:rsidRDefault="00F5150A" w:rsidP="00CA6B7A">
      <w:pPr>
        <w:spacing w:after="120"/>
        <w:jc w:val="both"/>
        <w:rPr>
          <w:rFonts w:ascii="Arial" w:hAnsi="Arial" w:cs="Arial"/>
          <w:b/>
          <w:lang w:val="es-ES"/>
        </w:rPr>
      </w:pPr>
      <w:r w:rsidRPr="000E39F4">
        <w:rPr>
          <w:rFonts w:ascii="Arial" w:hAnsi="Arial" w:cs="Arial"/>
          <w:b/>
          <w:lang w:val="es-ES"/>
        </w:rPr>
        <w:t>I</w:t>
      </w:r>
      <w:r w:rsidR="0062321D" w:rsidRPr="000E39F4">
        <w:rPr>
          <w:rFonts w:ascii="Arial" w:hAnsi="Arial" w:cs="Arial"/>
          <w:b/>
          <w:lang w:val="es-ES"/>
        </w:rPr>
        <w:t>V</w:t>
      </w:r>
      <w:r w:rsidRPr="000E39F4">
        <w:rPr>
          <w:rFonts w:ascii="Arial" w:hAnsi="Arial" w:cs="Arial"/>
          <w:b/>
          <w:lang w:val="es-ES"/>
        </w:rPr>
        <w:t>.  Logros</w:t>
      </w:r>
    </w:p>
    <w:p w:rsidR="00F5150A" w:rsidRPr="000E39F4" w:rsidRDefault="00F5150A" w:rsidP="00CA6B7A">
      <w:pPr>
        <w:spacing w:after="120"/>
        <w:jc w:val="both"/>
        <w:rPr>
          <w:rFonts w:ascii="Arial" w:hAnsi="Arial" w:cs="Arial"/>
          <w:lang w:val="es-ES"/>
        </w:rPr>
      </w:pPr>
      <w:r w:rsidRPr="000E39F4">
        <w:rPr>
          <w:rFonts w:ascii="Arial" w:hAnsi="Arial" w:cs="Arial"/>
          <w:lang w:val="es-ES"/>
        </w:rPr>
        <w:t>Desde su creación</w:t>
      </w:r>
      <w:r w:rsidR="004118F3">
        <w:rPr>
          <w:rFonts w:ascii="Arial" w:hAnsi="Arial" w:cs="Arial"/>
          <w:lang w:val="es-ES"/>
        </w:rPr>
        <w:t>,</w:t>
      </w:r>
      <w:r w:rsidRPr="000E39F4">
        <w:rPr>
          <w:rFonts w:ascii="Arial" w:hAnsi="Arial" w:cs="Arial"/>
          <w:lang w:val="es-ES"/>
        </w:rPr>
        <w:t xml:space="preserve"> la CASP ha podido llevar a cabo un proceso de transición armonioso sin dejar de servir al público.  De esa misma forma</w:t>
      </w:r>
      <w:r w:rsidR="004118F3">
        <w:rPr>
          <w:rFonts w:ascii="Arial" w:hAnsi="Arial" w:cs="Arial"/>
          <w:lang w:val="es-ES"/>
        </w:rPr>
        <w:t>,</w:t>
      </w:r>
      <w:r w:rsidRPr="000E39F4">
        <w:rPr>
          <w:rFonts w:ascii="Arial" w:hAnsi="Arial" w:cs="Arial"/>
          <w:lang w:val="es-ES"/>
        </w:rPr>
        <w:t xml:space="preserve"> hemos logrado ahorros significativos por razón de la propia unificación de tareas administrativas de dos (2) agencias en una (1) sola, la integración de tecnología de vanguardia en los procesos de la agencia y como parte de las herramientas de trabajo de su personal y la reestructuración del recurso humano y de los  procedimientos internos de la CASP.  Esto último ha resultado también en una mayor agilidad en la resolución de los casos que históricamente por razones diversas ha</w:t>
      </w:r>
      <w:r w:rsidR="0062321D" w:rsidRPr="000E39F4">
        <w:rPr>
          <w:rFonts w:ascii="Arial" w:hAnsi="Arial" w:cs="Arial"/>
          <w:lang w:val="es-ES"/>
        </w:rPr>
        <w:t xml:space="preserve">bían </w:t>
      </w:r>
      <w:r w:rsidRPr="000E39F4">
        <w:rPr>
          <w:rFonts w:ascii="Arial" w:hAnsi="Arial" w:cs="Arial"/>
          <w:lang w:val="es-ES"/>
        </w:rPr>
        <w:t>estado paralizados dentro de las agencias fusionadas.</w:t>
      </w:r>
    </w:p>
    <w:p w:rsidR="00F5150A" w:rsidRPr="000E39F4" w:rsidRDefault="00F5150A" w:rsidP="00CA6B7A">
      <w:pPr>
        <w:spacing w:after="120"/>
        <w:jc w:val="both"/>
        <w:rPr>
          <w:rFonts w:ascii="Arial" w:hAnsi="Arial" w:cs="Arial"/>
          <w:lang w:val="es-ES"/>
        </w:rPr>
      </w:pPr>
      <w:r w:rsidRPr="000E39F4">
        <w:rPr>
          <w:rFonts w:ascii="Arial" w:hAnsi="Arial" w:cs="Arial"/>
          <w:lang w:val="es-ES"/>
        </w:rPr>
        <w:t>Entre los logros más significativos en este período de tiempo tenemos los siguientes:</w:t>
      </w:r>
    </w:p>
    <w:p w:rsidR="00F5150A" w:rsidRPr="000E39F4" w:rsidRDefault="007802E0" w:rsidP="00CA6B7A">
      <w:pPr>
        <w:numPr>
          <w:ilvl w:val="0"/>
          <w:numId w:val="1"/>
        </w:numPr>
        <w:spacing w:after="120"/>
        <w:jc w:val="both"/>
        <w:rPr>
          <w:rFonts w:ascii="Arial" w:hAnsi="Arial" w:cs="Arial"/>
          <w:lang w:val="es-ES"/>
        </w:rPr>
      </w:pPr>
      <w:r w:rsidRPr="000E39F4">
        <w:rPr>
          <w:rFonts w:ascii="Arial" w:hAnsi="Arial" w:cs="Arial"/>
          <w:lang w:val="es-ES"/>
        </w:rPr>
        <w:t>Mayor i</w:t>
      </w:r>
      <w:r w:rsidR="00F5150A" w:rsidRPr="000E39F4">
        <w:rPr>
          <w:rFonts w:ascii="Arial" w:hAnsi="Arial" w:cs="Arial"/>
          <w:lang w:val="es-ES"/>
        </w:rPr>
        <w:t>ntegración de las funciones operacionales de las agencias fusionadas.</w:t>
      </w:r>
    </w:p>
    <w:p w:rsidR="00F5150A" w:rsidRPr="000E39F4" w:rsidRDefault="00F5150A" w:rsidP="00CA6B7A">
      <w:pPr>
        <w:numPr>
          <w:ilvl w:val="0"/>
          <w:numId w:val="1"/>
        </w:numPr>
        <w:spacing w:after="120"/>
        <w:jc w:val="both"/>
        <w:rPr>
          <w:rFonts w:ascii="Arial" w:hAnsi="Arial" w:cs="Arial"/>
          <w:lang w:val="es-PR"/>
        </w:rPr>
      </w:pPr>
      <w:r w:rsidRPr="000E39F4">
        <w:rPr>
          <w:rFonts w:ascii="Arial" w:hAnsi="Arial" w:cs="Arial"/>
          <w:lang w:val="es-PR"/>
        </w:rPr>
        <w:t>Se implantó un mecanismo de consolidación de casos de arbitraje</w:t>
      </w:r>
      <w:r w:rsidR="004118F3">
        <w:rPr>
          <w:rFonts w:ascii="Arial" w:hAnsi="Arial" w:cs="Arial"/>
          <w:lang w:val="es-PR"/>
        </w:rPr>
        <w:t>,</w:t>
      </w:r>
      <w:r w:rsidRPr="000E39F4">
        <w:rPr>
          <w:rFonts w:ascii="Arial" w:hAnsi="Arial" w:cs="Arial"/>
          <w:lang w:val="es-PR"/>
        </w:rPr>
        <w:t xml:space="preserve"> el cual permite una mejor utilización de los recursos </w:t>
      </w:r>
      <w:r w:rsidR="00A40798" w:rsidRPr="000E39F4">
        <w:rPr>
          <w:rFonts w:ascii="Arial" w:hAnsi="Arial" w:cs="Arial"/>
          <w:lang w:val="es-PR"/>
        </w:rPr>
        <w:t>de la CASP</w:t>
      </w:r>
      <w:r w:rsidRPr="000E39F4">
        <w:rPr>
          <w:rFonts w:ascii="Arial" w:hAnsi="Arial" w:cs="Arial"/>
          <w:lang w:val="es-PR"/>
        </w:rPr>
        <w:t>.</w:t>
      </w:r>
    </w:p>
    <w:p w:rsidR="007802E0" w:rsidRPr="000E39F4" w:rsidRDefault="00994F1F" w:rsidP="00CA6B7A">
      <w:pPr>
        <w:numPr>
          <w:ilvl w:val="0"/>
          <w:numId w:val="1"/>
        </w:numPr>
        <w:spacing w:after="120"/>
        <w:jc w:val="both"/>
        <w:rPr>
          <w:rFonts w:ascii="Arial" w:hAnsi="Arial" w:cs="Arial"/>
          <w:lang w:val="es-PR"/>
        </w:rPr>
      </w:pPr>
      <w:r>
        <w:rPr>
          <w:rFonts w:ascii="Arial" w:hAnsi="Arial" w:cs="Arial"/>
          <w:lang w:val="es-PR"/>
        </w:rPr>
        <w:t>Se implantó</w:t>
      </w:r>
      <w:r w:rsidR="007802E0" w:rsidRPr="000E39F4">
        <w:rPr>
          <w:rFonts w:ascii="Arial" w:hAnsi="Arial" w:cs="Arial"/>
          <w:lang w:val="es-PR"/>
        </w:rPr>
        <w:t xml:space="preserve"> un procedimiento de vistas fuera de la CASP lo cual facilita la atención de casos para las partes localizadas fuera del área metropolitana.</w:t>
      </w:r>
    </w:p>
    <w:p w:rsidR="007802E0" w:rsidRPr="000E39F4" w:rsidRDefault="007802E0" w:rsidP="00CA6B7A">
      <w:pPr>
        <w:numPr>
          <w:ilvl w:val="0"/>
          <w:numId w:val="1"/>
        </w:numPr>
        <w:spacing w:after="120"/>
        <w:jc w:val="both"/>
        <w:rPr>
          <w:rFonts w:ascii="Arial" w:hAnsi="Arial" w:cs="Arial"/>
          <w:lang w:val="es-PR"/>
        </w:rPr>
      </w:pPr>
      <w:r w:rsidRPr="000E39F4">
        <w:rPr>
          <w:rFonts w:ascii="Arial" w:hAnsi="Arial" w:cs="Arial"/>
          <w:lang w:val="es-PR"/>
        </w:rPr>
        <w:t>Se realizó la elección sindical más grande del sistema público en Puerto Rico en tiempo récord, sin señalamientos y con un mínimo de personal.</w:t>
      </w:r>
    </w:p>
    <w:p w:rsidR="00F5150A" w:rsidRPr="000E39F4" w:rsidRDefault="00F5150A" w:rsidP="00CA6B7A">
      <w:pPr>
        <w:numPr>
          <w:ilvl w:val="0"/>
          <w:numId w:val="1"/>
        </w:numPr>
        <w:spacing w:after="120"/>
        <w:jc w:val="both"/>
        <w:rPr>
          <w:rFonts w:ascii="Arial" w:hAnsi="Arial" w:cs="Arial"/>
          <w:lang w:val="es-PR"/>
        </w:rPr>
      </w:pPr>
      <w:r w:rsidRPr="000E39F4">
        <w:rPr>
          <w:rFonts w:ascii="Arial" w:hAnsi="Arial" w:cs="Arial"/>
          <w:lang w:val="es-PR"/>
        </w:rPr>
        <w:t>Se optimiza</w:t>
      </w:r>
      <w:r w:rsidR="00A40798" w:rsidRPr="000E39F4">
        <w:rPr>
          <w:rFonts w:ascii="Arial" w:hAnsi="Arial" w:cs="Arial"/>
          <w:lang w:val="es-PR"/>
        </w:rPr>
        <w:t xml:space="preserve">ron </w:t>
      </w:r>
      <w:r w:rsidRPr="000E39F4">
        <w:rPr>
          <w:rFonts w:ascii="Arial" w:hAnsi="Arial" w:cs="Arial"/>
          <w:lang w:val="es-PR"/>
        </w:rPr>
        <w:t xml:space="preserve">los sistemas </w:t>
      </w:r>
      <w:r w:rsidR="00A40798" w:rsidRPr="000E39F4">
        <w:rPr>
          <w:rFonts w:ascii="Arial" w:hAnsi="Arial" w:cs="Arial"/>
          <w:lang w:val="es-PR"/>
        </w:rPr>
        <w:t>de resguardo de información</w:t>
      </w:r>
      <w:r w:rsidRPr="000E39F4">
        <w:rPr>
          <w:rFonts w:ascii="Arial" w:hAnsi="Arial" w:cs="Arial"/>
          <w:lang w:val="es-PR"/>
        </w:rPr>
        <w:t xml:space="preserve"> manteniendo a la vanguardia la tecnología conforme a los ofrecimientos del mercado.</w:t>
      </w:r>
    </w:p>
    <w:p w:rsidR="00F5150A" w:rsidRPr="000E39F4" w:rsidRDefault="00F5150A" w:rsidP="009562DA">
      <w:pPr>
        <w:numPr>
          <w:ilvl w:val="0"/>
          <w:numId w:val="1"/>
        </w:numPr>
        <w:spacing w:after="120"/>
        <w:jc w:val="both"/>
        <w:rPr>
          <w:rFonts w:ascii="Arial" w:hAnsi="Arial" w:cs="Arial"/>
          <w:lang w:val="es-PR"/>
        </w:rPr>
      </w:pPr>
      <w:r w:rsidRPr="000E39F4">
        <w:rPr>
          <w:rFonts w:ascii="Arial" w:hAnsi="Arial" w:cs="Arial"/>
          <w:lang w:val="es-PR"/>
        </w:rPr>
        <w:t xml:space="preserve">Se </w:t>
      </w:r>
      <w:r w:rsidR="00A40798" w:rsidRPr="000E39F4">
        <w:rPr>
          <w:rFonts w:ascii="Arial" w:hAnsi="Arial" w:cs="Arial"/>
          <w:lang w:val="es-PR"/>
        </w:rPr>
        <w:t>implantó</w:t>
      </w:r>
      <w:r w:rsidRPr="000E39F4">
        <w:rPr>
          <w:rFonts w:ascii="Arial" w:hAnsi="Arial" w:cs="Arial"/>
          <w:lang w:val="es-PR"/>
        </w:rPr>
        <w:t xml:space="preserve"> un procedimiento de mediación de </w:t>
      </w:r>
      <w:r w:rsidR="00A40798" w:rsidRPr="000E39F4">
        <w:rPr>
          <w:rFonts w:ascii="Arial" w:hAnsi="Arial" w:cs="Arial"/>
          <w:lang w:val="es-PR"/>
        </w:rPr>
        <w:t>apelaciones por Ley Núm. 184</w:t>
      </w:r>
      <w:r w:rsidR="007802E0" w:rsidRPr="000E39F4">
        <w:rPr>
          <w:rFonts w:ascii="Arial" w:hAnsi="Arial" w:cs="Arial"/>
          <w:lang w:val="es-PR"/>
        </w:rPr>
        <w:t xml:space="preserve"> para promover la agilización de casos</w:t>
      </w:r>
      <w:r w:rsidR="00A40798" w:rsidRPr="000E39F4">
        <w:rPr>
          <w:rFonts w:ascii="Arial" w:hAnsi="Arial" w:cs="Arial"/>
          <w:lang w:val="es-PR"/>
        </w:rPr>
        <w:t>.</w:t>
      </w:r>
      <w:r w:rsidR="007802E0" w:rsidRPr="000E39F4">
        <w:rPr>
          <w:rFonts w:ascii="Arial" w:hAnsi="Arial" w:cs="Arial"/>
          <w:lang w:val="es-PR"/>
        </w:rPr>
        <w:t xml:space="preserve">  También se fortaleció la relación con la OCALARH para este propósito.</w:t>
      </w:r>
      <w:r w:rsidR="00A40798" w:rsidRPr="000E39F4">
        <w:rPr>
          <w:rFonts w:ascii="Arial" w:hAnsi="Arial" w:cs="Arial"/>
          <w:lang w:val="es-PR"/>
        </w:rPr>
        <w:t xml:space="preserve"> </w:t>
      </w:r>
      <w:r w:rsidR="007802E0" w:rsidRPr="000E39F4">
        <w:rPr>
          <w:rFonts w:ascii="Arial" w:hAnsi="Arial" w:cs="Arial"/>
          <w:lang w:val="es-PR"/>
        </w:rPr>
        <w:t xml:space="preserve"> </w:t>
      </w:r>
    </w:p>
    <w:p w:rsidR="00F5150A" w:rsidRPr="000E39F4" w:rsidRDefault="00F5150A" w:rsidP="00CA6B7A">
      <w:pPr>
        <w:numPr>
          <w:ilvl w:val="0"/>
          <w:numId w:val="1"/>
        </w:numPr>
        <w:spacing w:after="120"/>
        <w:jc w:val="both"/>
        <w:rPr>
          <w:rFonts w:ascii="Arial" w:hAnsi="Arial" w:cs="Arial"/>
          <w:lang w:val="es-ES"/>
        </w:rPr>
      </w:pPr>
      <w:r w:rsidRPr="000E39F4">
        <w:rPr>
          <w:rFonts w:ascii="Arial" w:hAnsi="Arial" w:cs="Arial"/>
          <w:lang w:val="es-ES"/>
        </w:rPr>
        <w:lastRenderedPageBreak/>
        <w:t xml:space="preserve">Se redujo en un </w:t>
      </w:r>
      <w:r w:rsidR="007802E0" w:rsidRPr="000E39F4">
        <w:rPr>
          <w:rFonts w:ascii="Arial" w:hAnsi="Arial" w:cs="Arial"/>
          <w:lang w:val="es-ES"/>
        </w:rPr>
        <w:t>39</w:t>
      </w:r>
      <w:r w:rsidRPr="000E39F4">
        <w:rPr>
          <w:rFonts w:ascii="Arial" w:hAnsi="Arial" w:cs="Arial"/>
          <w:lang w:val="es-ES"/>
        </w:rPr>
        <w:t xml:space="preserve">% </w:t>
      </w:r>
      <w:r w:rsidR="00EB5F0A" w:rsidRPr="000E39F4">
        <w:rPr>
          <w:rFonts w:ascii="Arial" w:hAnsi="Arial" w:cs="Arial"/>
          <w:lang w:val="es-ES"/>
        </w:rPr>
        <w:t>el gasto en empleados de confianza de la CASP</w:t>
      </w:r>
      <w:r w:rsidR="007802E0" w:rsidRPr="000E39F4">
        <w:rPr>
          <w:rFonts w:ascii="Arial" w:hAnsi="Arial" w:cs="Arial"/>
          <w:lang w:val="es-ES"/>
        </w:rPr>
        <w:t xml:space="preserve"> en comparación con el gasto del Año Fiscal 2011-12</w:t>
      </w:r>
      <w:r w:rsidR="004118F3">
        <w:rPr>
          <w:rFonts w:ascii="Arial" w:hAnsi="Arial" w:cs="Arial"/>
          <w:lang w:val="es-ES"/>
        </w:rPr>
        <w:t>,</w:t>
      </w:r>
      <w:r w:rsidR="007802E0" w:rsidRPr="000E39F4">
        <w:rPr>
          <w:rFonts w:ascii="Arial" w:hAnsi="Arial" w:cs="Arial"/>
          <w:lang w:val="es-ES"/>
        </w:rPr>
        <w:t xml:space="preserve"> según requerido por la Ley Núm. 66-2014</w:t>
      </w:r>
      <w:r w:rsidR="00EB5F0A" w:rsidRPr="000E39F4">
        <w:rPr>
          <w:rFonts w:ascii="Arial" w:hAnsi="Arial" w:cs="Arial"/>
          <w:lang w:val="es-ES"/>
        </w:rPr>
        <w:t>.</w:t>
      </w:r>
    </w:p>
    <w:p w:rsidR="00EB5F0A" w:rsidRPr="000E39F4" w:rsidRDefault="00EB5F0A" w:rsidP="00CA6B7A">
      <w:pPr>
        <w:numPr>
          <w:ilvl w:val="0"/>
          <w:numId w:val="1"/>
        </w:numPr>
        <w:spacing w:after="120"/>
        <w:jc w:val="both"/>
        <w:rPr>
          <w:rFonts w:ascii="Arial" w:hAnsi="Arial" w:cs="Arial"/>
          <w:lang w:val="es-ES"/>
        </w:rPr>
      </w:pPr>
      <w:r w:rsidRPr="000E39F4">
        <w:rPr>
          <w:rFonts w:ascii="Arial" w:hAnsi="Arial" w:cs="Arial"/>
          <w:lang w:val="es-ES"/>
        </w:rPr>
        <w:t>Se redujo en un 68% el gasto en contratos</w:t>
      </w:r>
      <w:r w:rsidR="007802E0" w:rsidRPr="000E39F4">
        <w:rPr>
          <w:rFonts w:ascii="Arial" w:hAnsi="Arial" w:cs="Arial"/>
          <w:lang w:val="es-ES"/>
        </w:rPr>
        <w:t xml:space="preserve"> en comparación con el gasto del Año Fiscal 2011-12</w:t>
      </w:r>
      <w:r w:rsidR="004118F3">
        <w:rPr>
          <w:rFonts w:ascii="Arial" w:hAnsi="Arial" w:cs="Arial"/>
          <w:lang w:val="es-ES"/>
        </w:rPr>
        <w:t>,</w:t>
      </w:r>
      <w:bookmarkStart w:id="0" w:name="_GoBack"/>
      <w:bookmarkEnd w:id="0"/>
      <w:r w:rsidR="007802E0" w:rsidRPr="000E39F4">
        <w:rPr>
          <w:rFonts w:ascii="Arial" w:hAnsi="Arial" w:cs="Arial"/>
          <w:lang w:val="es-ES"/>
        </w:rPr>
        <w:t xml:space="preserve"> según requerido por la Ley Núm. 66-2014.</w:t>
      </w:r>
    </w:p>
    <w:p w:rsidR="00F5150A" w:rsidRPr="000E39F4" w:rsidRDefault="00F5150A" w:rsidP="00CA6B7A">
      <w:pPr>
        <w:numPr>
          <w:ilvl w:val="0"/>
          <w:numId w:val="1"/>
        </w:numPr>
        <w:spacing w:after="120"/>
        <w:jc w:val="both"/>
        <w:rPr>
          <w:rFonts w:ascii="Arial" w:hAnsi="Arial" w:cs="Arial"/>
          <w:lang w:val="es-ES"/>
        </w:rPr>
      </w:pPr>
      <w:r w:rsidRPr="000E39F4">
        <w:rPr>
          <w:rFonts w:ascii="Arial" w:hAnsi="Arial" w:cs="Arial"/>
          <w:lang w:val="es-ES"/>
        </w:rPr>
        <w:t xml:space="preserve">Se reestructuraron las </w:t>
      </w:r>
      <w:r w:rsidR="007802E0" w:rsidRPr="000E39F4">
        <w:rPr>
          <w:rFonts w:ascii="Arial" w:hAnsi="Arial" w:cs="Arial"/>
          <w:lang w:val="es-ES"/>
        </w:rPr>
        <w:t xml:space="preserve">oficinas físicas de la CASP reduciendo el gasto </w:t>
      </w:r>
      <w:r w:rsidR="00994F1F">
        <w:rPr>
          <w:rFonts w:ascii="Arial" w:hAnsi="Arial" w:cs="Arial"/>
          <w:lang w:val="es-ES"/>
        </w:rPr>
        <w:t>de</w:t>
      </w:r>
      <w:r w:rsidR="007802E0" w:rsidRPr="000E39F4">
        <w:rPr>
          <w:rFonts w:ascii="Arial" w:hAnsi="Arial" w:cs="Arial"/>
          <w:lang w:val="es-ES"/>
        </w:rPr>
        <w:t xml:space="preserve"> arrendamiento en un </w:t>
      </w:r>
      <w:r w:rsidR="008E7C20" w:rsidRPr="000E39F4">
        <w:rPr>
          <w:rFonts w:ascii="Arial" w:hAnsi="Arial" w:cs="Arial"/>
          <w:lang w:val="es-ES"/>
        </w:rPr>
        <w:t>29%.</w:t>
      </w:r>
    </w:p>
    <w:p w:rsidR="000F5FAC" w:rsidRPr="000E39F4" w:rsidRDefault="00F5150A" w:rsidP="007A2A25">
      <w:pPr>
        <w:numPr>
          <w:ilvl w:val="0"/>
          <w:numId w:val="1"/>
        </w:numPr>
        <w:autoSpaceDE w:val="0"/>
        <w:autoSpaceDN w:val="0"/>
        <w:adjustRightInd w:val="0"/>
        <w:spacing w:after="120"/>
        <w:jc w:val="both"/>
        <w:rPr>
          <w:rFonts w:ascii="Arial" w:hAnsi="Arial" w:cs="Arial"/>
          <w:lang w:val="es-PR"/>
        </w:rPr>
      </w:pPr>
      <w:r w:rsidRPr="000E39F4">
        <w:rPr>
          <w:rFonts w:ascii="Arial" w:hAnsi="Arial" w:cs="Arial"/>
          <w:lang w:val="es-PR"/>
        </w:rPr>
        <w:t>Se identificó para motivos de disposición el universo de casos inactivos de ambas agencias.  Esto nos permite reducir el espacio necesario para el archivo de documentos.</w:t>
      </w:r>
    </w:p>
    <w:p w:rsidR="007802E0" w:rsidRDefault="007802E0" w:rsidP="007A2A25">
      <w:pPr>
        <w:numPr>
          <w:ilvl w:val="0"/>
          <w:numId w:val="1"/>
        </w:numPr>
        <w:autoSpaceDE w:val="0"/>
        <w:autoSpaceDN w:val="0"/>
        <w:adjustRightInd w:val="0"/>
        <w:spacing w:after="120"/>
        <w:jc w:val="both"/>
        <w:rPr>
          <w:rFonts w:ascii="Arial" w:hAnsi="Arial" w:cs="Arial"/>
          <w:lang w:val="es-PR"/>
        </w:rPr>
      </w:pPr>
      <w:r w:rsidRPr="000E39F4">
        <w:rPr>
          <w:rFonts w:ascii="Arial" w:hAnsi="Arial" w:cs="Arial"/>
          <w:lang w:val="es-PR"/>
        </w:rPr>
        <w:t>Se cerraron todos los años fiscales sin déficit presupuestario.</w:t>
      </w:r>
    </w:p>
    <w:p w:rsidR="00994F1F" w:rsidRPr="000E39F4" w:rsidRDefault="00994F1F" w:rsidP="007A2A25">
      <w:pPr>
        <w:numPr>
          <w:ilvl w:val="0"/>
          <w:numId w:val="1"/>
        </w:numPr>
        <w:autoSpaceDE w:val="0"/>
        <w:autoSpaceDN w:val="0"/>
        <w:adjustRightInd w:val="0"/>
        <w:spacing w:after="120"/>
        <w:jc w:val="both"/>
        <w:rPr>
          <w:rFonts w:ascii="Arial" w:hAnsi="Arial" w:cs="Arial"/>
          <w:lang w:val="es-PR"/>
        </w:rPr>
      </w:pPr>
      <w:r>
        <w:rPr>
          <w:rFonts w:ascii="Arial" w:hAnsi="Arial" w:cs="Arial"/>
          <w:lang w:val="es-PR"/>
        </w:rPr>
        <w:t>Se aumentó el número de casos resueltos en comparación con el cuatrienio anterior.</w:t>
      </w:r>
    </w:p>
    <w:p w:rsidR="00656CC2" w:rsidRPr="000E39F4" w:rsidRDefault="00656CC2" w:rsidP="007A2A25">
      <w:pPr>
        <w:numPr>
          <w:ilvl w:val="0"/>
          <w:numId w:val="1"/>
        </w:numPr>
        <w:autoSpaceDE w:val="0"/>
        <w:autoSpaceDN w:val="0"/>
        <w:adjustRightInd w:val="0"/>
        <w:spacing w:after="120"/>
        <w:jc w:val="both"/>
        <w:rPr>
          <w:rFonts w:ascii="Arial" w:hAnsi="Arial" w:cs="Arial"/>
          <w:lang w:val="es-PR"/>
        </w:rPr>
      </w:pPr>
      <w:r w:rsidRPr="000E39F4">
        <w:rPr>
          <w:rFonts w:ascii="Arial" w:hAnsi="Arial" w:cs="Arial"/>
          <w:lang w:val="es-PR"/>
        </w:rPr>
        <w:t>Se defendió exitosamente la autonomía adjudicativa de la CASP ante los foros pertinentes</w:t>
      </w:r>
      <w:r w:rsidR="00E36814" w:rsidRPr="000E39F4">
        <w:rPr>
          <w:rFonts w:ascii="Arial" w:hAnsi="Arial" w:cs="Arial"/>
          <w:lang w:val="es-PR"/>
        </w:rPr>
        <w:t>,</w:t>
      </w:r>
      <w:r w:rsidRPr="000E39F4">
        <w:rPr>
          <w:rFonts w:ascii="Arial" w:hAnsi="Arial" w:cs="Arial"/>
          <w:lang w:val="es-PR"/>
        </w:rPr>
        <w:t xml:space="preserve"> evitando una fusión que amenazaba</w:t>
      </w:r>
      <w:r w:rsidR="00E36814" w:rsidRPr="000E39F4">
        <w:rPr>
          <w:rFonts w:ascii="Arial" w:hAnsi="Arial" w:cs="Arial"/>
          <w:lang w:val="es-PR"/>
        </w:rPr>
        <w:t xml:space="preserve"> la misma.</w:t>
      </w:r>
    </w:p>
    <w:p w:rsidR="008E7C20" w:rsidRPr="000E39F4" w:rsidRDefault="008E7C20" w:rsidP="008E7C20">
      <w:pPr>
        <w:spacing w:after="120"/>
        <w:jc w:val="both"/>
        <w:rPr>
          <w:rFonts w:ascii="Arial" w:hAnsi="Arial" w:cs="Arial"/>
          <w:b/>
          <w:lang w:val="es-ES"/>
        </w:rPr>
      </w:pPr>
      <w:r w:rsidRPr="000E39F4">
        <w:rPr>
          <w:rFonts w:ascii="Arial" w:hAnsi="Arial" w:cs="Arial"/>
          <w:b/>
          <w:lang w:val="es-ES"/>
        </w:rPr>
        <w:t>V.  Datos Estadísticos</w:t>
      </w:r>
    </w:p>
    <w:p w:rsidR="008E7C20" w:rsidRPr="000E39F4" w:rsidRDefault="008E7C20" w:rsidP="008E7C20">
      <w:pPr>
        <w:spacing w:after="120"/>
        <w:jc w:val="both"/>
        <w:rPr>
          <w:rFonts w:ascii="Arial" w:hAnsi="Arial" w:cs="Arial"/>
          <w:b/>
          <w:lang w:val="es-PR" w:eastAsia="es-PR"/>
        </w:rPr>
      </w:pPr>
      <w:r w:rsidRPr="000E39F4">
        <w:rPr>
          <w:rFonts w:ascii="Arial" w:hAnsi="Arial" w:cs="Arial"/>
          <w:b/>
          <w:lang w:val="es-PR" w:eastAsia="es-PR"/>
        </w:rPr>
        <w:t>Radicación y Resolución de Casos</w:t>
      </w:r>
      <w:r w:rsidRPr="000E39F4">
        <w:rPr>
          <w:rStyle w:val="FootnoteReference"/>
          <w:rFonts w:ascii="Arial" w:hAnsi="Arial" w:cs="Arial"/>
          <w:b/>
          <w:color w:val="000000"/>
          <w:lang w:val="es-PR"/>
        </w:rPr>
        <w:footnoteReference w:id="5"/>
      </w:r>
      <w:r w:rsidRPr="000E39F4">
        <w:rPr>
          <w:rFonts w:ascii="Arial" w:hAnsi="Arial" w:cs="Arial"/>
          <w:b/>
          <w:lang w:val="es-PR" w:eastAsia="es-PR"/>
        </w:rPr>
        <w:t>:</w:t>
      </w:r>
    </w:p>
    <w:p w:rsidR="008E7C20" w:rsidRPr="000E39F4" w:rsidRDefault="008E7C20" w:rsidP="008E7C20">
      <w:pPr>
        <w:spacing w:after="120"/>
        <w:jc w:val="both"/>
        <w:rPr>
          <w:rFonts w:ascii="Arial" w:hAnsi="Arial" w:cs="Arial"/>
          <w:lang w:val="es-PR" w:eastAsia="es-PR"/>
        </w:rPr>
      </w:pPr>
      <w:r w:rsidRPr="000E39F4">
        <w:rPr>
          <w:rFonts w:ascii="Arial" w:hAnsi="Arial" w:cs="Arial"/>
          <w:b/>
          <w:lang w:val="es-PR" w:eastAsia="es-PR"/>
        </w:rPr>
        <w:t xml:space="preserve">Tabla </w:t>
      </w:r>
      <w:r w:rsidR="007633DB" w:rsidRPr="000E39F4">
        <w:rPr>
          <w:rFonts w:ascii="Arial" w:hAnsi="Arial" w:cs="Arial"/>
          <w:b/>
          <w:lang w:val="es-PR" w:eastAsia="es-PR"/>
        </w:rPr>
        <w:t>1</w:t>
      </w:r>
      <w:r w:rsidRPr="000E39F4">
        <w:rPr>
          <w:rFonts w:ascii="Arial" w:hAnsi="Arial" w:cs="Arial"/>
          <w:b/>
          <w:lang w:val="es-PR" w:eastAsia="es-PR"/>
        </w:rPr>
        <w:t>: Análisis de Casos Radicados y Casos Resueltos desde el Año Fiscal 2006-07 hasta el Presente (por Agencia).</w:t>
      </w:r>
      <w:r w:rsidRPr="000E39F4">
        <w:rPr>
          <w:rStyle w:val="FootnoteReference"/>
          <w:rFonts w:ascii="Arial" w:hAnsi="Arial" w:cs="Arial"/>
          <w:b/>
          <w:lang w:val="es-PR" w:eastAsia="es-PR"/>
        </w:rPr>
        <w:footnoteReference w:id="6"/>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684"/>
        <w:gridCol w:w="684"/>
        <w:gridCol w:w="685"/>
        <w:gridCol w:w="738"/>
        <w:gridCol w:w="685"/>
        <w:gridCol w:w="685"/>
        <w:gridCol w:w="738"/>
        <w:gridCol w:w="685"/>
        <w:gridCol w:w="685"/>
        <w:gridCol w:w="685"/>
        <w:gridCol w:w="685"/>
        <w:gridCol w:w="685"/>
      </w:tblGrid>
      <w:tr w:rsidR="00387967" w:rsidRPr="000E39F4" w:rsidTr="00387967">
        <w:trPr>
          <w:jc w:val="center"/>
        </w:trPr>
        <w:tc>
          <w:tcPr>
            <w:tcW w:w="0" w:type="auto"/>
            <w:shd w:val="clear" w:color="auto" w:fill="auto"/>
            <w:vAlign w:val="center"/>
          </w:tcPr>
          <w:p w:rsidR="00387967" w:rsidRPr="000E39F4" w:rsidRDefault="00387967" w:rsidP="00E606AD">
            <w:pPr>
              <w:jc w:val="center"/>
              <w:rPr>
                <w:rFonts w:ascii="Arial" w:hAnsi="Arial" w:cs="Arial"/>
                <w:b/>
                <w:sz w:val="16"/>
                <w:szCs w:val="16"/>
                <w:lang w:val="es-PR" w:eastAsia="es-PR"/>
              </w:rPr>
            </w:pPr>
            <w:r w:rsidRPr="000E39F4">
              <w:rPr>
                <w:rFonts w:ascii="Arial" w:hAnsi="Arial" w:cs="Arial"/>
                <w:b/>
                <w:sz w:val="16"/>
                <w:szCs w:val="16"/>
                <w:lang w:val="es-PR" w:eastAsia="es-PR"/>
              </w:rPr>
              <w:t>Agencia</w:t>
            </w:r>
          </w:p>
        </w:tc>
        <w:tc>
          <w:tcPr>
            <w:tcW w:w="0" w:type="auto"/>
            <w:shd w:val="clear" w:color="auto" w:fill="auto"/>
            <w:vAlign w:val="center"/>
          </w:tcPr>
          <w:p w:rsidR="00387967" w:rsidRPr="000E39F4" w:rsidRDefault="00387967" w:rsidP="00387967">
            <w:pPr>
              <w:jc w:val="center"/>
              <w:rPr>
                <w:rFonts w:ascii="Arial" w:hAnsi="Arial" w:cs="Arial"/>
                <w:b/>
                <w:color w:val="000000"/>
                <w:sz w:val="16"/>
                <w:szCs w:val="16"/>
                <w:lang w:val="es-PR"/>
              </w:rPr>
            </w:pPr>
            <w:r w:rsidRPr="000E39F4">
              <w:rPr>
                <w:rFonts w:ascii="Arial" w:hAnsi="Arial" w:cs="Arial"/>
                <w:b/>
                <w:color w:val="000000"/>
                <w:sz w:val="16"/>
                <w:szCs w:val="16"/>
                <w:lang w:val="es-PR"/>
              </w:rPr>
              <w:t>2006-07</w:t>
            </w:r>
          </w:p>
        </w:tc>
        <w:tc>
          <w:tcPr>
            <w:tcW w:w="0" w:type="auto"/>
            <w:shd w:val="clear" w:color="auto" w:fill="auto"/>
            <w:vAlign w:val="center"/>
          </w:tcPr>
          <w:p w:rsidR="00387967" w:rsidRPr="000E39F4" w:rsidRDefault="00387967" w:rsidP="00387967">
            <w:pPr>
              <w:jc w:val="center"/>
              <w:rPr>
                <w:rFonts w:ascii="Arial" w:hAnsi="Arial" w:cs="Arial"/>
                <w:b/>
                <w:color w:val="000000"/>
                <w:sz w:val="16"/>
                <w:szCs w:val="16"/>
                <w:lang w:val="es-PR"/>
              </w:rPr>
            </w:pPr>
            <w:r w:rsidRPr="000E39F4">
              <w:rPr>
                <w:rFonts w:ascii="Arial" w:hAnsi="Arial" w:cs="Arial"/>
                <w:b/>
                <w:color w:val="000000"/>
                <w:sz w:val="16"/>
                <w:szCs w:val="16"/>
                <w:lang w:val="es-PR"/>
              </w:rPr>
              <w:t>2007-08</w:t>
            </w:r>
          </w:p>
        </w:tc>
        <w:tc>
          <w:tcPr>
            <w:tcW w:w="0" w:type="auto"/>
            <w:shd w:val="clear" w:color="auto" w:fill="auto"/>
            <w:vAlign w:val="center"/>
          </w:tcPr>
          <w:p w:rsidR="00387967" w:rsidRPr="000E39F4" w:rsidRDefault="00387967" w:rsidP="00387967">
            <w:pPr>
              <w:jc w:val="center"/>
              <w:rPr>
                <w:rFonts w:ascii="Arial" w:hAnsi="Arial" w:cs="Arial"/>
                <w:b/>
                <w:color w:val="000000"/>
                <w:sz w:val="16"/>
                <w:szCs w:val="16"/>
                <w:lang w:val="es-PR"/>
              </w:rPr>
            </w:pPr>
            <w:r w:rsidRPr="000E39F4">
              <w:rPr>
                <w:rFonts w:ascii="Arial" w:hAnsi="Arial" w:cs="Arial"/>
                <w:b/>
                <w:color w:val="000000"/>
                <w:sz w:val="16"/>
                <w:szCs w:val="16"/>
                <w:lang w:val="es-PR"/>
              </w:rPr>
              <w:t>2008-09</w:t>
            </w:r>
          </w:p>
        </w:tc>
        <w:tc>
          <w:tcPr>
            <w:tcW w:w="0" w:type="auto"/>
            <w:shd w:val="clear" w:color="auto" w:fill="auto"/>
            <w:vAlign w:val="center"/>
          </w:tcPr>
          <w:p w:rsidR="00387967" w:rsidRPr="000E39F4" w:rsidRDefault="00387967" w:rsidP="00387967">
            <w:pPr>
              <w:jc w:val="center"/>
              <w:rPr>
                <w:rFonts w:ascii="Arial" w:hAnsi="Arial" w:cs="Arial"/>
                <w:b/>
                <w:color w:val="000000"/>
                <w:sz w:val="16"/>
                <w:szCs w:val="16"/>
                <w:lang w:val="es-PR"/>
              </w:rPr>
            </w:pPr>
            <w:r w:rsidRPr="000E39F4">
              <w:rPr>
                <w:rFonts w:ascii="Arial" w:hAnsi="Arial" w:cs="Arial"/>
                <w:b/>
                <w:color w:val="000000"/>
                <w:sz w:val="16"/>
                <w:szCs w:val="16"/>
                <w:lang w:val="es-PR"/>
              </w:rPr>
              <w:t>2009-10</w:t>
            </w:r>
          </w:p>
        </w:tc>
        <w:tc>
          <w:tcPr>
            <w:tcW w:w="0" w:type="auto"/>
            <w:shd w:val="clear" w:color="auto" w:fill="F3F3F3"/>
            <w:vAlign w:val="center"/>
          </w:tcPr>
          <w:p w:rsidR="00387967" w:rsidRPr="000E39F4" w:rsidRDefault="00387967" w:rsidP="00387967">
            <w:pPr>
              <w:jc w:val="center"/>
              <w:rPr>
                <w:rFonts w:ascii="Arial" w:hAnsi="Arial" w:cs="Arial"/>
                <w:b/>
                <w:color w:val="000000"/>
                <w:sz w:val="16"/>
                <w:szCs w:val="16"/>
                <w:lang w:val="es-PR"/>
              </w:rPr>
            </w:pPr>
            <w:r w:rsidRPr="000E39F4">
              <w:rPr>
                <w:rFonts w:ascii="Arial" w:hAnsi="Arial" w:cs="Arial"/>
                <w:b/>
                <w:color w:val="000000"/>
                <w:sz w:val="16"/>
                <w:szCs w:val="16"/>
                <w:lang w:val="es-PR"/>
              </w:rPr>
              <w:t>2010-11</w:t>
            </w:r>
          </w:p>
        </w:tc>
        <w:tc>
          <w:tcPr>
            <w:tcW w:w="0" w:type="auto"/>
            <w:shd w:val="clear" w:color="auto" w:fill="F3F3F3"/>
            <w:vAlign w:val="center"/>
          </w:tcPr>
          <w:p w:rsidR="00387967" w:rsidRPr="000E39F4" w:rsidRDefault="00387967" w:rsidP="00387967">
            <w:pPr>
              <w:jc w:val="center"/>
              <w:rPr>
                <w:rFonts w:ascii="Arial" w:hAnsi="Arial" w:cs="Arial"/>
                <w:b/>
                <w:color w:val="000000"/>
                <w:sz w:val="16"/>
                <w:szCs w:val="16"/>
                <w:lang w:val="es-PR"/>
              </w:rPr>
            </w:pPr>
            <w:r w:rsidRPr="000E39F4">
              <w:rPr>
                <w:rFonts w:ascii="Arial" w:hAnsi="Arial" w:cs="Arial"/>
                <w:b/>
                <w:color w:val="000000"/>
                <w:sz w:val="16"/>
                <w:szCs w:val="16"/>
                <w:lang w:val="es-PR"/>
              </w:rPr>
              <w:t>2010-11</w:t>
            </w:r>
          </w:p>
        </w:tc>
        <w:tc>
          <w:tcPr>
            <w:tcW w:w="0" w:type="auto"/>
            <w:shd w:val="clear" w:color="auto" w:fill="auto"/>
            <w:vAlign w:val="center"/>
          </w:tcPr>
          <w:p w:rsidR="00387967" w:rsidRPr="000E39F4" w:rsidRDefault="00387967" w:rsidP="00387967">
            <w:pPr>
              <w:jc w:val="center"/>
              <w:rPr>
                <w:rFonts w:ascii="Arial" w:hAnsi="Arial" w:cs="Arial"/>
                <w:b/>
                <w:color w:val="000000"/>
                <w:sz w:val="16"/>
                <w:szCs w:val="16"/>
                <w:lang w:val="es-PR"/>
              </w:rPr>
            </w:pPr>
            <w:r w:rsidRPr="000E39F4">
              <w:rPr>
                <w:rFonts w:ascii="Arial" w:hAnsi="Arial" w:cs="Arial"/>
                <w:b/>
                <w:color w:val="000000"/>
                <w:sz w:val="16"/>
                <w:szCs w:val="16"/>
                <w:lang w:val="es-PR"/>
              </w:rPr>
              <w:t>2011-12</w:t>
            </w:r>
          </w:p>
        </w:tc>
        <w:tc>
          <w:tcPr>
            <w:tcW w:w="0" w:type="auto"/>
            <w:shd w:val="clear" w:color="auto" w:fill="auto"/>
            <w:vAlign w:val="center"/>
          </w:tcPr>
          <w:p w:rsidR="00387967" w:rsidRPr="000E39F4" w:rsidRDefault="00387967" w:rsidP="00387967">
            <w:pPr>
              <w:jc w:val="center"/>
              <w:rPr>
                <w:rFonts w:ascii="Arial" w:hAnsi="Arial" w:cs="Arial"/>
                <w:b/>
                <w:color w:val="000000"/>
                <w:sz w:val="16"/>
                <w:szCs w:val="16"/>
                <w:lang w:val="es-PR"/>
              </w:rPr>
            </w:pPr>
            <w:r w:rsidRPr="000E39F4">
              <w:rPr>
                <w:rFonts w:ascii="Arial" w:hAnsi="Arial" w:cs="Arial"/>
                <w:b/>
                <w:color w:val="000000"/>
                <w:sz w:val="16"/>
                <w:szCs w:val="16"/>
                <w:lang w:val="es-PR"/>
              </w:rPr>
              <w:t>2012-13</w:t>
            </w:r>
          </w:p>
        </w:tc>
        <w:tc>
          <w:tcPr>
            <w:tcW w:w="0" w:type="auto"/>
            <w:shd w:val="clear" w:color="auto" w:fill="auto"/>
            <w:vAlign w:val="center"/>
          </w:tcPr>
          <w:p w:rsidR="00387967" w:rsidRPr="000E39F4" w:rsidRDefault="00387967" w:rsidP="00387967">
            <w:pPr>
              <w:jc w:val="center"/>
              <w:rPr>
                <w:rFonts w:ascii="Arial" w:hAnsi="Arial" w:cs="Arial"/>
                <w:b/>
                <w:color w:val="000000"/>
                <w:sz w:val="16"/>
                <w:szCs w:val="16"/>
                <w:lang w:val="es-PR"/>
              </w:rPr>
            </w:pPr>
            <w:r w:rsidRPr="000E39F4">
              <w:rPr>
                <w:rFonts w:ascii="Arial" w:hAnsi="Arial" w:cs="Arial"/>
                <w:b/>
                <w:color w:val="000000"/>
                <w:sz w:val="16"/>
                <w:szCs w:val="16"/>
                <w:lang w:val="es-PR"/>
              </w:rPr>
              <w:t>2013-14</w:t>
            </w:r>
          </w:p>
        </w:tc>
        <w:tc>
          <w:tcPr>
            <w:tcW w:w="0" w:type="auto"/>
            <w:vAlign w:val="center"/>
          </w:tcPr>
          <w:p w:rsidR="00387967" w:rsidRPr="000E39F4" w:rsidRDefault="00387967" w:rsidP="00387967">
            <w:pPr>
              <w:jc w:val="center"/>
              <w:rPr>
                <w:rFonts w:ascii="Arial" w:hAnsi="Arial" w:cs="Arial"/>
                <w:b/>
                <w:color w:val="000000"/>
                <w:sz w:val="16"/>
                <w:szCs w:val="16"/>
                <w:lang w:val="es-PR"/>
              </w:rPr>
            </w:pPr>
            <w:r w:rsidRPr="000E39F4">
              <w:rPr>
                <w:rFonts w:ascii="Arial" w:hAnsi="Arial" w:cs="Arial"/>
                <w:b/>
                <w:color w:val="000000"/>
                <w:sz w:val="16"/>
                <w:szCs w:val="16"/>
                <w:lang w:val="es-PR"/>
              </w:rPr>
              <w:t>2014-15</w:t>
            </w:r>
          </w:p>
        </w:tc>
        <w:tc>
          <w:tcPr>
            <w:tcW w:w="0" w:type="auto"/>
            <w:vAlign w:val="center"/>
          </w:tcPr>
          <w:p w:rsidR="00387967" w:rsidRPr="000E39F4" w:rsidRDefault="00387967" w:rsidP="00387967">
            <w:pPr>
              <w:jc w:val="center"/>
              <w:rPr>
                <w:rFonts w:ascii="Arial" w:hAnsi="Arial" w:cs="Arial"/>
                <w:b/>
                <w:color w:val="000000"/>
                <w:sz w:val="16"/>
                <w:szCs w:val="16"/>
                <w:lang w:val="es-PR"/>
              </w:rPr>
            </w:pPr>
            <w:r w:rsidRPr="000E39F4">
              <w:rPr>
                <w:rFonts w:ascii="Arial" w:hAnsi="Arial" w:cs="Arial"/>
                <w:b/>
                <w:color w:val="000000"/>
                <w:sz w:val="16"/>
                <w:szCs w:val="16"/>
                <w:lang w:val="es-PR"/>
              </w:rPr>
              <w:t>2015-16</w:t>
            </w:r>
          </w:p>
        </w:tc>
        <w:tc>
          <w:tcPr>
            <w:tcW w:w="0" w:type="auto"/>
            <w:vAlign w:val="center"/>
          </w:tcPr>
          <w:p w:rsidR="00387967" w:rsidRPr="000E39F4" w:rsidRDefault="00387967" w:rsidP="00387967">
            <w:pPr>
              <w:jc w:val="center"/>
              <w:rPr>
                <w:rFonts w:ascii="Arial" w:hAnsi="Arial" w:cs="Arial"/>
                <w:b/>
                <w:color w:val="000000"/>
                <w:sz w:val="16"/>
                <w:szCs w:val="16"/>
                <w:lang w:val="es-PR"/>
              </w:rPr>
            </w:pPr>
            <w:r w:rsidRPr="000E39F4">
              <w:rPr>
                <w:rFonts w:ascii="Arial" w:hAnsi="Arial" w:cs="Arial"/>
                <w:b/>
                <w:color w:val="000000"/>
                <w:sz w:val="16"/>
                <w:szCs w:val="16"/>
                <w:lang w:val="es-PR"/>
              </w:rPr>
              <w:t>2016-17</w:t>
            </w:r>
          </w:p>
        </w:tc>
      </w:tr>
      <w:tr w:rsidR="00387967" w:rsidRPr="000E39F4" w:rsidTr="00387967">
        <w:trPr>
          <w:jc w:val="center"/>
        </w:trPr>
        <w:tc>
          <w:tcPr>
            <w:tcW w:w="0" w:type="auto"/>
            <w:shd w:val="clear" w:color="auto" w:fill="auto"/>
            <w:vAlign w:val="center"/>
          </w:tcPr>
          <w:p w:rsidR="00387967" w:rsidRPr="000E39F4" w:rsidRDefault="00387967" w:rsidP="00E606AD">
            <w:pPr>
              <w:jc w:val="center"/>
              <w:rPr>
                <w:rFonts w:ascii="Arial" w:hAnsi="Arial" w:cs="Arial"/>
                <w:b/>
                <w:color w:val="000000"/>
                <w:sz w:val="16"/>
                <w:szCs w:val="16"/>
                <w:lang w:val="es-PR"/>
              </w:rPr>
            </w:pPr>
            <w:r w:rsidRPr="000E39F4">
              <w:rPr>
                <w:rFonts w:ascii="Arial" w:hAnsi="Arial" w:cs="Arial"/>
                <w:b/>
                <w:color w:val="000000"/>
                <w:sz w:val="16"/>
                <w:szCs w:val="16"/>
                <w:lang w:val="es-PR"/>
              </w:rPr>
              <w:t>CRTSP</w:t>
            </w:r>
            <w:r w:rsidRPr="000E39F4">
              <w:rPr>
                <w:rFonts w:ascii="Arial" w:hAnsi="Arial" w:cs="Arial"/>
                <w:b/>
                <w:color w:val="000000"/>
                <w:sz w:val="16"/>
                <w:szCs w:val="16"/>
                <w:lang w:val="es-PR"/>
              </w:rPr>
              <w:br/>
              <w:t>Radicados</w:t>
            </w:r>
          </w:p>
        </w:tc>
        <w:tc>
          <w:tcPr>
            <w:tcW w:w="0" w:type="auto"/>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1,209</w:t>
            </w:r>
          </w:p>
        </w:tc>
        <w:tc>
          <w:tcPr>
            <w:tcW w:w="0" w:type="auto"/>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1,690</w:t>
            </w:r>
          </w:p>
        </w:tc>
        <w:tc>
          <w:tcPr>
            <w:tcW w:w="0" w:type="auto"/>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1,767</w:t>
            </w:r>
          </w:p>
        </w:tc>
        <w:tc>
          <w:tcPr>
            <w:tcW w:w="0" w:type="auto"/>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29,331</w:t>
            </w:r>
          </w:p>
        </w:tc>
        <w:tc>
          <w:tcPr>
            <w:tcW w:w="0" w:type="auto"/>
            <w:shd w:val="clear" w:color="auto" w:fill="F3F3F3"/>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692</w:t>
            </w:r>
          </w:p>
        </w:tc>
        <w:tc>
          <w:tcPr>
            <w:tcW w:w="0" w:type="auto"/>
            <w:shd w:val="clear" w:color="auto" w:fill="F3F3F3"/>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0" w:type="auto"/>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0" w:type="auto"/>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0" w:type="auto"/>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0" w:type="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0" w:type="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0" w:type="auto"/>
            <w:vAlign w:val="center"/>
          </w:tcPr>
          <w:p w:rsidR="00387967" w:rsidRPr="000E39F4" w:rsidRDefault="00387967" w:rsidP="00387967">
            <w:pPr>
              <w:jc w:val="center"/>
              <w:rPr>
                <w:rFonts w:ascii="Arial" w:hAnsi="Arial" w:cs="Arial"/>
                <w:color w:val="000000"/>
                <w:sz w:val="16"/>
                <w:szCs w:val="16"/>
                <w:lang w:val="es-PR"/>
              </w:rPr>
            </w:pPr>
          </w:p>
        </w:tc>
      </w:tr>
      <w:tr w:rsidR="00387967" w:rsidRPr="000E39F4" w:rsidTr="00387967">
        <w:trPr>
          <w:jc w:val="center"/>
        </w:trPr>
        <w:tc>
          <w:tcPr>
            <w:tcW w:w="0" w:type="auto"/>
            <w:shd w:val="clear" w:color="auto" w:fill="auto"/>
            <w:vAlign w:val="center"/>
          </w:tcPr>
          <w:p w:rsidR="00387967" w:rsidRPr="000E39F4" w:rsidRDefault="00387967" w:rsidP="00E606AD">
            <w:pPr>
              <w:jc w:val="center"/>
              <w:rPr>
                <w:rFonts w:ascii="Arial" w:hAnsi="Arial" w:cs="Arial"/>
                <w:b/>
                <w:color w:val="000000"/>
                <w:sz w:val="16"/>
                <w:szCs w:val="16"/>
                <w:lang w:val="es-PR"/>
              </w:rPr>
            </w:pPr>
            <w:r w:rsidRPr="000E39F4">
              <w:rPr>
                <w:rFonts w:ascii="Arial" w:hAnsi="Arial" w:cs="Arial"/>
                <w:b/>
                <w:color w:val="000000"/>
                <w:sz w:val="16"/>
                <w:szCs w:val="16"/>
                <w:lang w:val="es-PR"/>
              </w:rPr>
              <w:t>CRTSP</w:t>
            </w:r>
            <w:r w:rsidRPr="000E39F4">
              <w:rPr>
                <w:rFonts w:ascii="Arial" w:hAnsi="Arial" w:cs="Arial"/>
                <w:b/>
                <w:color w:val="000000"/>
                <w:sz w:val="16"/>
                <w:szCs w:val="16"/>
                <w:lang w:val="es-PR"/>
              </w:rPr>
              <w:br/>
              <w:t>Resueltos</w:t>
            </w:r>
          </w:p>
        </w:tc>
        <w:tc>
          <w:tcPr>
            <w:tcW w:w="0" w:type="auto"/>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1,150</w:t>
            </w:r>
          </w:p>
        </w:tc>
        <w:tc>
          <w:tcPr>
            <w:tcW w:w="0" w:type="auto"/>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982</w:t>
            </w:r>
          </w:p>
        </w:tc>
        <w:tc>
          <w:tcPr>
            <w:tcW w:w="0" w:type="auto"/>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862</w:t>
            </w:r>
          </w:p>
        </w:tc>
        <w:tc>
          <w:tcPr>
            <w:tcW w:w="0" w:type="auto"/>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1,563</w:t>
            </w:r>
          </w:p>
        </w:tc>
        <w:tc>
          <w:tcPr>
            <w:tcW w:w="0" w:type="auto"/>
            <w:shd w:val="clear" w:color="auto" w:fill="F3F3F3"/>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5,059</w:t>
            </w:r>
          </w:p>
        </w:tc>
        <w:tc>
          <w:tcPr>
            <w:tcW w:w="0" w:type="auto"/>
            <w:shd w:val="clear" w:color="auto" w:fill="F3F3F3"/>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0" w:type="auto"/>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0" w:type="auto"/>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0" w:type="auto"/>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0" w:type="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0" w:type="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0" w:type="auto"/>
            <w:vAlign w:val="center"/>
          </w:tcPr>
          <w:p w:rsidR="00387967" w:rsidRPr="000E39F4" w:rsidRDefault="00387967" w:rsidP="00387967">
            <w:pPr>
              <w:jc w:val="center"/>
              <w:rPr>
                <w:rFonts w:ascii="Arial" w:hAnsi="Arial" w:cs="Arial"/>
                <w:color w:val="000000"/>
                <w:sz w:val="16"/>
                <w:szCs w:val="16"/>
                <w:lang w:val="es-PR"/>
              </w:rPr>
            </w:pPr>
          </w:p>
        </w:tc>
      </w:tr>
      <w:tr w:rsidR="00387967" w:rsidRPr="000E39F4" w:rsidTr="00387967">
        <w:trPr>
          <w:jc w:val="center"/>
        </w:trPr>
        <w:tc>
          <w:tcPr>
            <w:tcW w:w="0" w:type="auto"/>
            <w:shd w:val="clear" w:color="auto" w:fill="auto"/>
            <w:vAlign w:val="center"/>
          </w:tcPr>
          <w:p w:rsidR="00387967" w:rsidRPr="000E39F4" w:rsidRDefault="00387967" w:rsidP="00E606AD">
            <w:pPr>
              <w:jc w:val="center"/>
              <w:rPr>
                <w:rFonts w:ascii="Arial" w:hAnsi="Arial" w:cs="Arial"/>
                <w:b/>
                <w:color w:val="000000"/>
                <w:sz w:val="16"/>
                <w:szCs w:val="16"/>
                <w:lang w:val="es-PR"/>
              </w:rPr>
            </w:pPr>
            <w:r w:rsidRPr="000E39F4">
              <w:rPr>
                <w:rFonts w:ascii="Arial" w:hAnsi="Arial" w:cs="Arial"/>
                <w:b/>
                <w:color w:val="000000"/>
                <w:sz w:val="16"/>
                <w:szCs w:val="16"/>
                <w:lang w:val="es-PR"/>
              </w:rPr>
              <w:t>CASARH</w:t>
            </w:r>
            <w:r w:rsidRPr="000E39F4">
              <w:rPr>
                <w:rFonts w:ascii="Arial" w:hAnsi="Arial" w:cs="Arial"/>
                <w:b/>
                <w:color w:val="000000"/>
                <w:sz w:val="16"/>
                <w:szCs w:val="16"/>
                <w:lang w:val="es-PR"/>
              </w:rPr>
              <w:br/>
              <w:t>Radicados</w:t>
            </w:r>
          </w:p>
        </w:tc>
        <w:tc>
          <w:tcPr>
            <w:tcW w:w="0" w:type="auto"/>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1,159</w:t>
            </w:r>
          </w:p>
        </w:tc>
        <w:tc>
          <w:tcPr>
            <w:tcW w:w="0" w:type="auto"/>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1,074</w:t>
            </w:r>
          </w:p>
        </w:tc>
        <w:tc>
          <w:tcPr>
            <w:tcW w:w="0" w:type="auto"/>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1,142</w:t>
            </w:r>
          </w:p>
        </w:tc>
        <w:tc>
          <w:tcPr>
            <w:tcW w:w="0" w:type="auto"/>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3,277</w:t>
            </w:r>
          </w:p>
        </w:tc>
        <w:tc>
          <w:tcPr>
            <w:tcW w:w="0" w:type="auto"/>
            <w:shd w:val="clear" w:color="auto" w:fill="F3F3F3"/>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3,009</w:t>
            </w:r>
          </w:p>
        </w:tc>
        <w:tc>
          <w:tcPr>
            <w:tcW w:w="0" w:type="auto"/>
            <w:shd w:val="clear" w:color="auto" w:fill="F3F3F3"/>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0" w:type="auto"/>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0" w:type="auto"/>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0" w:type="auto"/>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0" w:type="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0" w:type="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0" w:type="auto"/>
            <w:vAlign w:val="center"/>
          </w:tcPr>
          <w:p w:rsidR="00387967" w:rsidRPr="000E39F4" w:rsidRDefault="00387967" w:rsidP="00387967">
            <w:pPr>
              <w:jc w:val="center"/>
              <w:rPr>
                <w:rFonts w:ascii="Arial" w:hAnsi="Arial" w:cs="Arial"/>
                <w:color w:val="000000"/>
                <w:sz w:val="16"/>
                <w:szCs w:val="16"/>
                <w:lang w:val="es-PR"/>
              </w:rPr>
            </w:pPr>
          </w:p>
        </w:tc>
      </w:tr>
      <w:tr w:rsidR="00387967" w:rsidRPr="000E39F4" w:rsidTr="00387967">
        <w:trPr>
          <w:jc w:val="center"/>
        </w:trPr>
        <w:tc>
          <w:tcPr>
            <w:tcW w:w="0" w:type="auto"/>
            <w:shd w:val="clear" w:color="auto" w:fill="auto"/>
            <w:vAlign w:val="center"/>
          </w:tcPr>
          <w:p w:rsidR="00387967" w:rsidRPr="000E39F4" w:rsidRDefault="00387967" w:rsidP="00E606AD">
            <w:pPr>
              <w:jc w:val="center"/>
              <w:rPr>
                <w:rFonts w:ascii="Arial" w:hAnsi="Arial" w:cs="Arial"/>
                <w:b/>
                <w:color w:val="000000"/>
                <w:sz w:val="16"/>
                <w:szCs w:val="16"/>
                <w:lang w:val="es-PR"/>
              </w:rPr>
            </w:pPr>
            <w:r w:rsidRPr="000E39F4">
              <w:rPr>
                <w:rFonts w:ascii="Arial" w:hAnsi="Arial" w:cs="Arial"/>
                <w:b/>
                <w:color w:val="000000"/>
                <w:sz w:val="16"/>
                <w:szCs w:val="16"/>
                <w:lang w:val="es-PR"/>
              </w:rPr>
              <w:t>CASARH</w:t>
            </w:r>
            <w:r w:rsidRPr="000E39F4">
              <w:rPr>
                <w:rFonts w:ascii="Arial" w:hAnsi="Arial" w:cs="Arial"/>
                <w:b/>
                <w:color w:val="000000"/>
                <w:sz w:val="16"/>
                <w:szCs w:val="16"/>
                <w:lang w:val="es-PR"/>
              </w:rPr>
              <w:br/>
              <w:t>Resueltos</w:t>
            </w:r>
          </w:p>
        </w:tc>
        <w:tc>
          <w:tcPr>
            <w:tcW w:w="0" w:type="auto"/>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1,274</w:t>
            </w:r>
          </w:p>
        </w:tc>
        <w:tc>
          <w:tcPr>
            <w:tcW w:w="0" w:type="auto"/>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1,680</w:t>
            </w:r>
          </w:p>
        </w:tc>
        <w:tc>
          <w:tcPr>
            <w:tcW w:w="0" w:type="auto"/>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1,402</w:t>
            </w:r>
          </w:p>
        </w:tc>
        <w:tc>
          <w:tcPr>
            <w:tcW w:w="0" w:type="auto"/>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2,438</w:t>
            </w:r>
          </w:p>
        </w:tc>
        <w:tc>
          <w:tcPr>
            <w:tcW w:w="0" w:type="auto"/>
            <w:shd w:val="clear" w:color="auto" w:fill="F3F3F3"/>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1,061</w:t>
            </w:r>
          </w:p>
        </w:tc>
        <w:tc>
          <w:tcPr>
            <w:tcW w:w="0" w:type="auto"/>
            <w:shd w:val="clear" w:color="auto" w:fill="F3F3F3"/>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0" w:type="auto"/>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0" w:type="auto"/>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0" w:type="auto"/>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0" w:type="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0" w:type="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0" w:type="auto"/>
            <w:vAlign w:val="center"/>
          </w:tcPr>
          <w:p w:rsidR="00387967" w:rsidRPr="000E39F4" w:rsidRDefault="00387967" w:rsidP="00387967">
            <w:pPr>
              <w:jc w:val="center"/>
              <w:rPr>
                <w:rFonts w:ascii="Arial" w:hAnsi="Arial" w:cs="Arial"/>
                <w:color w:val="000000"/>
                <w:sz w:val="16"/>
                <w:szCs w:val="16"/>
                <w:lang w:val="es-PR"/>
              </w:rPr>
            </w:pPr>
          </w:p>
        </w:tc>
      </w:tr>
      <w:tr w:rsidR="00387967" w:rsidRPr="000E39F4" w:rsidTr="00387967">
        <w:trPr>
          <w:jc w:val="center"/>
        </w:trPr>
        <w:tc>
          <w:tcPr>
            <w:tcW w:w="0" w:type="auto"/>
            <w:shd w:val="clear" w:color="auto" w:fill="auto"/>
            <w:vAlign w:val="center"/>
          </w:tcPr>
          <w:p w:rsidR="00387967" w:rsidRPr="000E39F4" w:rsidRDefault="00387967" w:rsidP="00E606AD">
            <w:pPr>
              <w:jc w:val="center"/>
              <w:rPr>
                <w:rFonts w:ascii="Arial" w:hAnsi="Arial" w:cs="Arial"/>
                <w:b/>
                <w:color w:val="000000"/>
                <w:sz w:val="16"/>
                <w:szCs w:val="16"/>
                <w:lang w:val="es-PR"/>
              </w:rPr>
            </w:pPr>
            <w:r w:rsidRPr="000E39F4">
              <w:rPr>
                <w:rFonts w:ascii="Arial" w:hAnsi="Arial" w:cs="Arial"/>
                <w:b/>
                <w:color w:val="000000"/>
                <w:sz w:val="16"/>
                <w:szCs w:val="16"/>
                <w:lang w:val="es-PR"/>
              </w:rPr>
              <w:t>CASP</w:t>
            </w:r>
            <w:r w:rsidRPr="000E39F4">
              <w:rPr>
                <w:rFonts w:ascii="Arial" w:hAnsi="Arial" w:cs="Arial"/>
                <w:b/>
                <w:color w:val="000000"/>
                <w:sz w:val="16"/>
                <w:szCs w:val="16"/>
                <w:lang w:val="es-PR"/>
              </w:rPr>
              <w:br/>
              <w:t>Radicados</w:t>
            </w:r>
          </w:p>
        </w:tc>
        <w:tc>
          <w:tcPr>
            <w:tcW w:w="0" w:type="auto"/>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0" w:type="auto"/>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0" w:type="auto"/>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0" w:type="auto"/>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0" w:type="auto"/>
            <w:shd w:val="clear" w:color="auto" w:fill="F3F3F3"/>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0" w:type="auto"/>
            <w:shd w:val="clear" w:color="auto" w:fill="F3F3F3"/>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1,165</w:t>
            </w:r>
          </w:p>
        </w:tc>
        <w:tc>
          <w:tcPr>
            <w:tcW w:w="0" w:type="auto"/>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4,497</w:t>
            </w:r>
          </w:p>
        </w:tc>
        <w:tc>
          <w:tcPr>
            <w:tcW w:w="0" w:type="auto"/>
            <w:shd w:val="clear" w:color="auto" w:fill="auto"/>
            <w:vAlign w:val="center"/>
          </w:tcPr>
          <w:p w:rsidR="00387967" w:rsidRPr="000E39F4" w:rsidRDefault="00387967" w:rsidP="00387967">
            <w:pPr>
              <w:jc w:val="center"/>
              <w:rPr>
                <w:rFonts w:ascii="Arial" w:hAnsi="Arial" w:cs="Arial"/>
                <w:color w:val="000000"/>
                <w:sz w:val="16"/>
                <w:szCs w:val="16"/>
                <w:lang w:val="es-PR" w:eastAsia="es-PR"/>
              </w:rPr>
            </w:pPr>
            <w:r w:rsidRPr="000E39F4">
              <w:rPr>
                <w:rFonts w:ascii="Arial" w:hAnsi="Arial" w:cs="Arial"/>
                <w:color w:val="000000"/>
                <w:sz w:val="16"/>
                <w:szCs w:val="16"/>
              </w:rPr>
              <w:t>3,647</w:t>
            </w:r>
          </w:p>
        </w:tc>
        <w:tc>
          <w:tcPr>
            <w:tcW w:w="0" w:type="auto"/>
            <w:shd w:val="clear" w:color="auto" w:fill="auto"/>
            <w:vAlign w:val="center"/>
          </w:tcPr>
          <w:p w:rsidR="00387967" w:rsidRPr="000E39F4" w:rsidRDefault="00387967" w:rsidP="00387967">
            <w:pPr>
              <w:jc w:val="center"/>
              <w:rPr>
                <w:rFonts w:ascii="Arial" w:hAnsi="Arial" w:cs="Arial"/>
                <w:color w:val="000000"/>
                <w:sz w:val="16"/>
                <w:szCs w:val="16"/>
              </w:rPr>
            </w:pPr>
            <w:r w:rsidRPr="000E39F4">
              <w:rPr>
                <w:rFonts w:ascii="Arial" w:hAnsi="Arial" w:cs="Arial"/>
                <w:color w:val="000000"/>
                <w:sz w:val="16"/>
                <w:szCs w:val="16"/>
              </w:rPr>
              <w:t>2,825</w:t>
            </w:r>
          </w:p>
        </w:tc>
        <w:tc>
          <w:tcPr>
            <w:tcW w:w="0" w:type="auto"/>
            <w:vAlign w:val="center"/>
          </w:tcPr>
          <w:p w:rsidR="00387967" w:rsidRPr="000E39F4" w:rsidRDefault="00387967" w:rsidP="00387967">
            <w:pPr>
              <w:jc w:val="center"/>
              <w:rPr>
                <w:rFonts w:ascii="Arial" w:hAnsi="Arial" w:cs="Arial"/>
                <w:color w:val="000000"/>
                <w:sz w:val="16"/>
                <w:szCs w:val="16"/>
              </w:rPr>
            </w:pPr>
            <w:r w:rsidRPr="000E39F4">
              <w:rPr>
                <w:rFonts w:ascii="Arial" w:hAnsi="Arial" w:cs="Arial"/>
                <w:color w:val="000000"/>
                <w:sz w:val="16"/>
                <w:szCs w:val="16"/>
              </w:rPr>
              <w:t>3,743</w:t>
            </w:r>
          </w:p>
        </w:tc>
        <w:tc>
          <w:tcPr>
            <w:tcW w:w="0" w:type="auto"/>
            <w:vAlign w:val="center"/>
          </w:tcPr>
          <w:p w:rsidR="00387967" w:rsidRPr="000E39F4" w:rsidRDefault="00387967" w:rsidP="00387967">
            <w:pPr>
              <w:jc w:val="center"/>
              <w:rPr>
                <w:rFonts w:ascii="Arial" w:hAnsi="Arial" w:cs="Arial"/>
                <w:color w:val="000000"/>
                <w:sz w:val="16"/>
                <w:szCs w:val="16"/>
              </w:rPr>
            </w:pPr>
            <w:r w:rsidRPr="000E39F4">
              <w:rPr>
                <w:rFonts w:ascii="Arial" w:hAnsi="Arial" w:cs="Arial"/>
                <w:color w:val="000000"/>
                <w:sz w:val="16"/>
                <w:szCs w:val="16"/>
              </w:rPr>
              <w:t>2,855</w:t>
            </w:r>
          </w:p>
        </w:tc>
        <w:tc>
          <w:tcPr>
            <w:tcW w:w="0" w:type="auto"/>
            <w:vAlign w:val="center"/>
          </w:tcPr>
          <w:p w:rsidR="00387967" w:rsidRPr="000E39F4" w:rsidRDefault="00387967" w:rsidP="00387967">
            <w:pPr>
              <w:jc w:val="center"/>
              <w:rPr>
                <w:rFonts w:ascii="Arial" w:hAnsi="Arial" w:cs="Arial"/>
                <w:color w:val="000000"/>
                <w:sz w:val="16"/>
                <w:szCs w:val="16"/>
              </w:rPr>
            </w:pPr>
            <w:r w:rsidRPr="000E39F4">
              <w:rPr>
                <w:rFonts w:ascii="Arial" w:hAnsi="Arial" w:cs="Arial"/>
                <w:color w:val="000000"/>
                <w:sz w:val="16"/>
                <w:szCs w:val="16"/>
              </w:rPr>
              <w:t>706</w:t>
            </w:r>
          </w:p>
        </w:tc>
      </w:tr>
      <w:tr w:rsidR="00387967" w:rsidRPr="000E39F4" w:rsidTr="00387967">
        <w:trPr>
          <w:jc w:val="center"/>
        </w:trPr>
        <w:tc>
          <w:tcPr>
            <w:tcW w:w="0" w:type="auto"/>
            <w:shd w:val="clear" w:color="auto" w:fill="auto"/>
            <w:vAlign w:val="center"/>
          </w:tcPr>
          <w:p w:rsidR="00387967" w:rsidRPr="000E39F4" w:rsidRDefault="00387967" w:rsidP="00E606AD">
            <w:pPr>
              <w:jc w:val="center"/>
              <w:rPr>
                <w:rFonts w:ascii="Arial" w:hAnsi="Arial" w:cs="Arial"/>
                <w:b/>
                <w:color w:val="000000"/>
                <w:sz w:val="16"/>
                <w:szCs w:val="16"/>
                <w:lang w:val="es-PR"/>
              </w:rPr>
            </w:pPr>
            <w:r w:rsidRPr="000E39F4">
              <w:rPr>
                <w:rFonts w:ascii="Arial" w:hAnsi="Arial" w:cs="Arial"/>
                <w:b/>
                <w:color w:val="000000"/>
                <w:sz w:val="16"/>
                <w:szCs w:val="16"/>
                <w:lang w:val="es-PR"/>
              </w:rPr>
              <w:t>CASP</w:t>
            </w:r>
            <w:r w:rsidRPr="000E39F4">
              <w:rPr>
                <w:rFonts w:ascii="Arial" w:hAnsi="Arial" w:cs="Arial"/>
                <w:b/>
                <w:color w:val="000000"/>
                <w:sz w:val="16"/>
                <w:szCs w:val="16"/>
                <w:lang w:val="es-PR"/>
              </w:rPr>
              <w:br/>
              <w:t>Resueltos</w:t>
            </w:r>
          </w:p>
        </w:tc>
        <w:tc>
          <w:tcPr>
            <w:tcW w:w="0" w:type="auto"/>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0" w:type="auto"/>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0" w:type="auto"/>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0" w:type="auto"/>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0" w:type="auto"/>
            <w:shd w:val="clear" w:color="auto" w:fill="F3F3F3"/>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0" w:type="auto"/>
            <w:shd w:val="clear" w:color="auto" w:fill="F3F3F3"/>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5,304</w:t>
            </w:r>
          </w:p>
        </w:tc>
        <w:tc>
          <w:tcPr>
            <w:tcW w:w="0" w:type="auto"/>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15,080</w:t>
            </w:r>
          </w:p>
        </w:tc>
        <w:tc>
          <w:tcPr>
            <w:tcW w:w="0" w:type="auto"/>
            <w:shd w:val="clear" w:color="auto" w:fill="auto"/>
            <w:vAlign w:val="center"/>
          </w:tcPr>
          <w:p w:rsidR="00387967" w:rsidRPr="000E39F4" w:rsidRDefault="00387967" w:rsidP="00387967">
            <w:pPr>
              <w:jc w:val="center"/>
              <w:rPr>
                <w:rFonts w:ascii="Arial" w:hAnsi="Arial" w:cs="Arial"/>
                <w:color w:val="000000"/>
                <w:sz w:val="16"/>
                <w:szCs w:val="16"/>
              </w:rPr>
            </w:pPr>
            <w:r w:rsidRPr="000E39F4">
              <w:rPr>
                <w:rFonts w:ascii="Arial" w:hAnsi="Arial" w:cs="Arial"/>
                <w:color w:val="000000"/>
                <w:sz w:val="16"/>
                <w:szCs w:val="16"/>
              </w:rPr>
              <w:t>8,033</w:t>
            </w:r>
          </w:p>
        </w:tc>
        <w:tc>
          <w:tcPr>
            <w:tcW w:w="0" w:type="auto"/>
            <w:shd w:val="clear" w:color="auto" w:fill="auto"/>
            <w:vAlign w:val="center"/>
          </w:tcPr>
          <w:p w:rsidR="00387967" w:rsidRPr="000E39F4" w:rsidRDefault="00387967" w:rsidP="00387967">
            <w:pPr>
              <w:jc w:val="center"/>
              <w:rPr>
                <w:rFonts w:ascii="Arial" w:hAnsi="Arial" w:cs="Arial"/>
                <w:color w:val="000000"/>
                <w:sz w:val="16"/>
                <w:szCs w:val="16"/>
              </w:rPr>
            </w:pPr>
            <w:r w:rsidRPr="000E39F4">
              <w:rPr>
                <w:rFonts w:ascii="Arial" w:hAnsi="Arial" w:cs="Arial"/>
                <w:color w:val="000000"/>
                <w:sz w:val="16"/>
                <w:szCs w:val="16"/>
              </w:rPr>
              <w:t>3,380</w:t>
            </w:r>
          </w:p>
        </w:tc>
        <w:tc>
          <w:tcPr>
            <w:tcW w:w="0" w:type="auto"/>
            <w:vAlign w:val="center"/>
          </w:tcPr>
          <w:p w:rsidR="00387967" w:rsidRPr="000E39F4" w:rsidRDefault="00387967" w:rsidP="00387967">
            <w:pPr>
              <w:jc w:val="center"/>
              <w:rPr>
                <w:rFonts w:ascii="Arial" w:hAnsi="Arial" w:cs="Arial"/>
                <w:color w:val="000000"/>
                <w:sz w:val="16"/>
                <w:szCs w:val="16"/>
              </w:rPr>
            </w:pPr>
            <w:r w:rsidRPr="000E39F4">
              <w:rPr>
                <w:rFonts w:ascii="Arial" w:hAnsi="Arial" w:cs="Arial"/>
                <w:color w:val="000000"/>
                <w:sz w:val="16"/>
                <w:szCs w:val="16"/>
              </w:rPr>
              <w:t>6,267</w:t>
            </w:r>
          </w:p>
        </w:tc>
        <w:tc>
          <w:tcPr>
            <w:tcW w:w="0" w:type="auto"/>
            <w:vAlign w:val="center"/>
          </w:tcPr>
          <w:p w:rsidR="00387967" w:rsidRPr="000E39F4" w:rsidRDefault="00387967" w:rsidP="00387967">
            <w:pPr>
              <w:jc w:val="center"/>
              <w:rPr>
                <w:rFonts w:ascii="Arial" w:hAnsi="Arial" w:cs="Arial"/>
                <w:color w:val="000000"/>
                <w:sz w:val="16"/>
                <w:szCs w:val="16"/>
              </w:rPr>
            </w:pPr>
            <w:r w:rsidRPr="000E39F4">
              <w:rPr>
                <w:rFonts w:ascii="Arial" w:hAnsi="Arial" w:cs="Arial"/>
                <w:color w:val="000000"/>
                <w:sz w:val="16"/>
                <w:szCs w:val="16"/>
              </w:rPr>
              <w:t>3,130</w:t>
            </w:r>
          </w:p>
        </w:tc>
        <w:tc>
          <w:tcPr>
            <w:tcW w:w="0" w:type="auto"/>
            <w:vAlign w:val="center"/>
          </w:tcPr>
          <w:p w:rsidR="00387967" w:rsidRPr="000E39F4" w:rsidRDefault="00387967" w:rsidP="00387967">
            <w:pPr>
              <w:jc w:val="center"/>
              <w:rPr>
                <w:rFonts w:ascii="Arial" w:hAnsi="Arial" w:cs="Arial"/>
                <w:color w:val="000000"/>
                <w:sz w:val="16"/>
                <w:szCs w:val="16"/>
              </w:rPr>
            </w:pPr>
            <w:r w:rsidRPr="000E39F4">
              <w:rPr>
                <w:rFonts w:ascii="Arial" w:hAnsi="Arial" w:cs="Arial"/>
                <w:color w:val="000000"/>
                <w:sz w:val="16"/>
                <w:szCs w:val="16"/>
              </w:rPr>
              <w:t>733</w:t>
            </w:r>
          </w:p>
        </w:tc>
      </w:tr>
    </w:tbl>
    <w:p w:rsidR="008E7C20" w:rsidRPr="000E39F4" w:rsidRDefault="008E7C20" w:rsidP="008E7C20">
      <w:pPr>
        <w:spacing w:after="120"/>
        <w:jc w:val="both"/>
        <w:rPr>
          <w:rFonts w:ascii="Arial" w:hAnsi="Arial" w:cs="Arial"/>
          <w:lang w:val="es-PR" w:eastAsia="es-PR"/>
        </w:rPr>
      </w:pPr>
    </w:p>
    <w:p w:rsidR="008E7C20" w:rsidRPr="000E39F4" w:rsidRDefault="008E7C20" w:rsidP="008E7C20">
      <w:pPr>
        <w:spacing w:after="120"/>
        <w:jc w:val="both"/>
        <w:rPr>
          <w:rFonts w:ascii="Arial" w:hAnsi="Arial" w:cs="Arial"/>
          <w:lang w:val="es-PR" w:eastAsia="es-PR"/>
        </w:rPr>
      </w:pPr>
      <w:r w:rsidRPr="000E39F4">
        <w:rPr>
          <w:rFonts w:ascii="Arial" w:hAnsi="Arial" w:cs="Arial"/>
          <w:b/>
          <w:lang w:val="es-PR" w:eastAsia="es-PR"/>
        </w:rPr>
        <w:t xml:space="preserve">Tabla </w:t>
      </w:r>
      <w:r w:rsidR="007633DB" w:rsidRPr="000E39F4">
        <w:rPr>
          <w:rFonts w:ascii="Arial" w:hAnsi="Arial" w:cs="Arial"/>
          <w:b/>
          <w:lang w:val="es-PR" w:eastAsia="es-PR"/>
        </w:rPr>
        <w:t>2</w:t>
      </w:r>
      <w:r w:rsidRPr="000E39F4">
        <w:rPr>
          <w:rFonts w:ascii="Arial" w:hAnsi="Arial" w:cs="Arial"/>
          <w:b/>
          <w:lang w:val="es-PR" w:eastAsia="es-PR"/>
        </w:rPr>
        <w:t>: Análisis de Casos Radicados y Casos Resueltos desde el Año Fiscal 2006-07 hasta el Presente (por Agencia).</w:t>
      </w:r>
      <w:r w:rsidRPr="000E39F4">
        <w:rPr>
          <w:rStyle w:val="FootnoteReference"/>
          <w:rFonts w:ascii="Arial" w:hAnsi="Arial" w:cs="Arial"/>
          <w:b/>
          <w:lang w:val="es-PR" w:eastAsia="es-PR"/>
        </w:rPr>
        <w:footnoteReference w:id="7"/>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698"/>
        <w:gridCol w:w="698"/>
        <w:gridCol w:w="698"/>
        <w:gridCol w:w="698"/>
        <w:gridCol w:w="698"/>
        <w:gridCol w:w="698"/>
        <w:gridCol w:w="698"/>
        <w:gridCol w:w="698"/>
        <w:gridCol w:w="698"/>
        <w:gridCol w:w="698"/>
        <w:gridCol w:w="672"/>
        <w:gridCol w:w="672"/>
      </w:tblGrid>
      <w:tr w:rsidR="00387967" w:rsidRPr="000E39F4" w:rsidTr="00387967">
        <w:trPr>
          <w:jc w:val="center"/>
        </w:trPr>
        <w:tc>
          <w:tcPr>
            <w:tcW w:w="1026" w:type="dxa"/>
            <w:shd w:val="clear" w:color="auto" w:fill="auto"/>
            <w:vAlign w:val="center"/>
          </w:tcPr>
          <w:p w:rsidR="00387967" w:rsidRPr="000E39F4" w:rsidRDefault="00387967" w:rsidP="00387967">
            <w:pPr>
              <w:jc w:val="center"/>
              <w:rPr>
                <w:rFonts w:ascii="Arial" w:hAnsi="Arial" w:cs="Arial"/>
                <w:b/>
                <w:sz w:val="16"/>
                <w:szCs w:val="16"/>
                <w:lang w:val="es-PR" w:eastAsia="es-PR"/>
              </w:rPr>
            </w:pPr>
            <w:r w:rsidRPr="000E39F4">
              <w:rPr>
                <w:rFonts w:ascii="Arial" w:hAnsi="Arial" w:cs="Arial"/>
                <w:b/>
                <w:sz w:val="16"/>
                <w:szCs w:val="16"/>
                <w:lang w:val="es-PR" w:eastAsia="es-PR"/>
              </w:rPr>
              <w:t>Agencia</w:t>
            </w:r>
          </w:p>
        </w:tc>
        <w:tc>
          <w:tcPr>
            <w:tcW w:w="698" w:type="dxa"/>
            <w:shd w:val="clear" w:color="auto" w:fill="auto"/>
            <w:vAlign w:val="center"/>
          </w:tcPr>
          <w:p w:rsidR="00387967" w:rsidRPr="000E39F4" w:rsidRDefault="00387967" w:rsidP="00387967">
            <w:pPr>
              <w:jc w:val="center"/>
              <w:rPr>
                <w:rFonts w:ascii="Arial" w:hAnsi="Arial" w:cs="Arial"/>
                <w:b/>
                <w:color w:val="000000"/>
                <w:sz w:val="16"/>
                <w:szCs w:val="16"/>
                <w:lang w:val="es-PR"/>
              </w:rPr>
            </w:pPr>
            <w:r w:rsidRPr="000E39F4">
              <w:rPr>
                <w:rFonts w:ascii="Arial" w:hAnsi="Arial" w:cs="Arial"/>
                <w:b/>
                <w:color w:val="000000"/>
                <w:sz w:val="16"/>
                <w:szCs w:val="16"/>
                <w:lang w:val="es-PR"/>
              </w:rPr>
              <w:t>2006-07</w:t>
            </w:r>
          </w:p>
        </w:tc>
        <w:tc>
          <w:tcPr>
            <w:tcW w:w="698" w:type="dxa"/>
            <w:shd w:val="clear" w:color="auto" w:fill="auto"/>
            <w:vAlign w:val="center"/>
          </w:tcPr>
          <w:p w:rsidR="00387967" w:rsidRPr="000E39F4" w:rsidRDefault="00387967" w:rsidP="00387967">
            <w:pPr>
              <w:jc w:val="center"/>
              <w:rPr>
                <w:rFonts w:ascii="Arial" w:hAnsi="Arial" w:cs="Arial"/>
                <w:b/>
                <w:color w:val="000000"/>
                <w:sz w:val="16"/>
                <w:szCs w:val="16"/>
                <w:lang w:val="es-PR"/>
              </w:rPr>
            </w:pPr>
            <w:r w:rsidRPr="000E39F4">
              <w:rPr>
                <w:rFonts w:ascii="Arial" w:hAnsi="Arial" w:cs="Arial"/>
                <w:b/>
                <w:color w:val="000000"/>
                <w:sz w:val="16"/>
                <w:szCs w:val="16"/>
                <w:lang w:val="es-PR"/>
              </w:rPr>
              <w:t>2007-08</w:t>
            </w:r>
          </w:p>
        </w:tc>
        <w:tc>
          <w:tcPr>
            <w:tcW w:w="698" w:type="dxa"/>
            <w:shd w:val="clear" w:color="auto" w:fill="auto"/>
            <w:vAlign w:val="center"/>
          </w:tcPr>
          <w:p w:rsidR="00387967" w:rsidRPr="000E39F4" w:rsidRDefault="00387967" w:rsidP="00387967">
            <w:pPr>
              <w:jc w:val="center"/>
              <w:rPr>
                <w:rFonts w:ascii="Arial" w:hAnsi="Arial" w:cs="Arial"/>
                <w:b/>
                <w:color w:val="000000"/>
                <w:sz w:val="16"/>
                <w:szCs w:val="16"/>
                <w:lang w:val="es-PR"/>
              </w:rPr>
            </w:pPr>
            <w:r w:rsidRPr="000E39F4">
              <w:rPr>
                <w:rFonts w:ascii="Arial" w:hAnsi="Arial" w:cs="Arial"/>
                <w:b/>
                <w:color w:val="000000"/>
                <w:sz w:val="16"/>
                <w:szCs w:val="16"/>
                <w:lang w:val="es-PR"/>
              </w:rPr>
              <w:t>2008-09</w:t>
            </w:r>
          </w:p>
        </w:tc>
        <w:tc>
          <w:tcPr>
            <w:tcW w:w="698" w:type="dxa"/>
            <w:shd w:val="clear" w:color="auto" w:fill="auto"/>
            <w:vAlign w:val="center"/>
          </w:tcPr>
          <w:p w:rsidR="00387967" w:rsidRPr="000E39F4" w:rsidRDefault="00387967" w:rsidP="00387967">
            <w:pPr>
              <w:jc w:val="center"/>
              <w:rPr>
                <w:rFonts w:ascii="Arial" w:hAnsi="Arial" w:cs="Arial"/>
                <w:b/>
                <w:color w:val="000000"/>
                <w:sz w:val="16"/>
                <w:szCs w:val="16"/>
                <w:lang w:val="es-PR"/>
              </w:rPr>
            </w:pPr>
            <w:r w:rsidRPr="000E39F4">
              <w:rPr>
                <w:rFonts w:ascii="Arial" w:hAnsi="Arial" w:cs="Arial"/>
                <w:b/>
                <w:color w:val="000000"/>
                <w:sz w:val="16"/>
                <w:szCs w:val="16"/>
                <w:lang w:val="es-PR"/>
              </w:rPr>
              <w:t>2009-10</w:t>
            </w:r>
          </w:p>
        </w:tc>
        <w:tc>
          <w:tcPr>
            <w:tcW w:w="698" w:type="dxa"/>
            <w:shd w:val="clear" w:color="auto" w:fill="F3F3F3"/>
            <w:vAlign w:val="center"/>
          </w:tcPr>
          <w:p w:rsidR="00387967" w:rsidRPr="000E39F4" w:rsidRDefault="00387967" w:rsidP="00387967">
            <w:pPr>
              <w:jc w:val="center"/>
              <w:rPr>
                <w:rFonts w:ascii="Arial" w:hAnsi="Arial" w:cs="Arial"/>
                <w:b/>
                <w:color w:val="000000"/>
                <w:sz w:val="16"/>
                <w:szCs w:val="16"/>
                <w:lang w:val="es-PR"/>
              </w:rPr>
            </w:pPr>
            <w:r w:rsidRPr="000E39F4">
              <w:rPr>
                <w:rFonts w:ascii="Arial" w:hAnsi="Arial" w:cs="Arial"/>
                <w:b/>
                <w:color w:val="000000"/>
                <w:sz w:val="16"/>
                <w:szCs w:val="16"/>
                <w:lang w:val="es-PR"/>
              </w:rPr>
              <w:t>2010-11</w:t>
            </w:r>
          </w:p>
        </w:tc>
        <w:tc>
          <w:tcPr>
            <w:tcW w:w="698" w:type="dxa"/>
            <w:shd w:val="clear" w:color="auto" w:fill="F3F3F3"/>
            <w:vAlign w:val="center"/>
          </w:tcPr>
          <w:p w:rsidR="00387967" w:rsidRPr="000E39F4" w:rsidRDefault="00387967" w:rsidP="00387967">
            <w:pPr>
              <w:jc w:val="center"/>
              <w:rPr>
                <w:rFonts w:ascii="Arial" w:hAnsi="Arial" w:cs="Arial"/>
                <w:b/>
                <w:color w:val="000000"/>
                <w:sz w:val="16"/>
                <w:szCs w:val="16"/>
                <w:lang w:val="es-PR"/>
              </w:rPr>
            </w:pPr>
            <w:r w:rsidRPr="000E39F4">
              <w:rPr>
                <w:rFonts w:ascii="Arial" w:hAnsi="Arial" w:cs="Arial"/>
                <w:b/>
                <w:color w:val="000000"/>
                <w:sz w:val="16"/>
                <w:szCs w:val="16"/>
                <w:lang w:val="es-PR"/>
              </w:rPr>
              <w:t>2010-11</w:t>
            </w:r>
          </w:p>
        </w:tc>
        <w:tc>
          <w:tcPr>
            <w:tcW w:w="698" w:type="dxa"/>
            <w:shd w:val="clear" w:color="auto" w:fill="auto"/>
            <w:vAlign w:val="center"/>
          </w:tcPr>
          <w:p w:rsidR="00387967" w:rsidRPr="000E39F4" w:rsidRDefault="00387967" w:rsidP="00387967">
            <w:pPr>
              <w:jc w:val="center"/>
              <w:rPr>
                <w:rFonts w:ascii="Arial" w:hAnsi="Arial" w:cs="Arial"/>
                <w:b/>
                <w:color w:val="000000"/>
                <w:sz w:val="16"/>
                <w:szCs w:val="16"/>
                <w:lang w:val="es-PR"/>
              </w:rPr>
            </w:pPr>
            <w:r w:rsidRPr="000E39F4">
              <w:rPr>
                <w:rFonts w:ascii="Arial" w:hAnsi="Arial" w:cs="Arial"/>
                <w:b/>
                <w:color w:val="000000"/>
                <w:sz w:val="16"/>
                <w:szCs w:val="16"/>
                <w:lang w:val="es-PR"/>
              </w:rPr>
              <w:t>2011-12</w:t>
            </w:r>
          </w:p>
        </w:tc>
        <w:tc>
          <w:tcPr>
            <w:tcW w:w="698" w:type="dxa"/>
            <w:shd w:val="clear" w:color="auto" w:fill="auto"/>
            <w:vAlign w:val="center"/>
          </w:tcPr>
          <w:p w:rsidR="00387967" w:rsidRPr="000E39F4" w:rsidRDefault="00387967" w:rsidP="00387967">
            <w:pPr>
              <w:jc w:val="center"/>
              <w:rPr>
                <w:rFonts w:ascii="Arial" w:hAnsi="Arial" w:cs="Arial"/>
                <w:b/>
                <w:color w:val="000000"/>
                <w:sz w:val="16"/>
                <w:szCs w:val="16"/>
                <w:lang w:val="es-PR"/>
              </w:rPr>
            </w:pPr>
            <w:r w:rsidRPr="000E39F4">
              <w:rPr>
                <w:rFonts w:ascii="Arial" w:hAnsi="Arial" w:cs="Arial"/>
                <w:b/>
                <w:color w:val="000000"/>
                <w:sz w:val="16"/>
                <w:szCs w:val="16"/>
                <w:lang w:val="es-PR"/>
              </w:rPr>
              <w:t>2012-13</w:t>
            </w:r>
          </w:p>
        </w:tc>
        <w:tc>
          <w:tcPr>
            <w:tcW w:w="698" w:type="dxa"/>
            <w:shd w:val="clear" w:color="auto" w:fill="auto"/>
            <w:vAlign w:val="center"/>
          </w:tcPr>
          <w:p w:rsidR="00387967" w:rsidRPr="000E39F4" w:rsidRDefault="00387967" w:rsidP="00387967">
            <w:pPr>
              <w:jc w:val="center"/>
              <w:rPr>
                <w:rFonts w:ascii="Arial" w:hAnsi="Arial" w:cs="Arial"/>
                <w:b/>
                <w:color w:val="000000"/>
                <w:sz w:val="16"/>
                <w:szCs w:val="16"/>
                <w:lang w:val="es-PR"/>
              </w:rPr>
            </w:pPr>
            <w:r w:rsidRPr="000E39F4">
              <w:rPr>
                <w:rFonts w:ascii="Arial" w:hAnsi="Arial" w:cs="Arial"/>
                <w:b/>
                <w:color w:val="000000"/>
                <w:sz w:val="16"/>
                <w:szCs w:val="16"/>
                <w:lang w:val="es-PR"/>
              </w:rPr>
              <w:t>2013-14</w:t>
            </w:r>
          </w:p>
        </w:tc>
        <w:tc>
          <w:tcPr>
            <w:tcW w:w="698" w:type="dxa"/>
            <w:vAlign w:val="center"/>
          </w:tcPr>
          <w:p w:rsidR="00387967" w:rsidRPr="000E39F4" w:rsidRDefault="00387967" w:rsidP="00387967">
            <w:pPr>
              <w:jc w:val="center"/>
              <w:rPr>
                <w:rFonts w:ascii="Arial" w:hAnsi="Arial" w:cs="Arial"/>
                <w:b/>
                <w:color w:val="000000"/>
                <w:sz w:val="16"/>
                <w:szCs w:val="16"/>
                <w:lang w:val="es-PR"/>
              </w:rPr>
            </w:pPr>
            <w:r w:rsidRPr="000E39F4">
              <w:rPr>
                <w:rFonts w:ascii="Arial" w:hAnsi="Arial" w:cs="Arial"/>
                <w:b/>
                <w:color w:val="000000"/>
                <w:sz w:val="16"/>
                <w:szCs w:val="16"/>
                <w:lang w:val="es-PR"/>
              </w:rPr>
              <w:t>2014-15</w:t>
            </w:r>
          </w:p>
        </w:tc>
        <w:tc>
          <w:tcPr>
            <w:tcW w:w="672" w:type="dxa"/>
            <w:vAlign w:val="center"/>
          </w:tcPr>
          <w:p w:rsidR="00387967" w:rsidRPr="000E39F4" w:rsidRDefault="00387967" w:rsidP="00387967">
            <w:pPr>
              <w:jc w:val="center"/>
              <w:rPr>
                <w:rFonts w:ascii="Arial" w:hAnsi="Arial" w:cs="Arial"/>
                <w:b/>
                <w:color w:val="000000"/>
                <w:sz w:val="16"/>
                <w:szCs w:val="16"/>
                <w:lang w:val="es-PR"/>
              </w:rPr>
            </w:pPr>
            <w:r w:rsidRPr="000E39F4">
              <w:rPr>
                <w:rFonts w:ascii="Arial" w:hAnsi="Arial" w:cs="Arial"/>
                <w:b/>
                <w:color w:val="000000"/>
                <w:sz w:val="16"/>
                <w:szCs w:val="16"/>
                <w:lang w:val="es-PR"/>
              </w:rPr>
              <w:t>2015-16</w:t>
            </w:r>
          </w:p>
        </w:tc>
        <w:tc>
          <w:tcPr>
            <w:tcW w:w="672" w:type="dxa"/>
            <w:vAlign w:val="center"/>
          </w:tcPr>
          <w:p w:rsidR="00387967" w:rsidRPr="000E39F4" w:rsidRDefault="00387967" w:rsidP="00387967">
            <w:pPr>
              <w:jc w:val="center"/>
              <w:rPr>
                <w:rFonts w:ascii="Arial" w:hAnsi="Arial" w:cs="Arial"/>
                <w:b/>
                <w:color w:val="000000"/>
                <w:sz w:val="16"/>
                <w:szCs w:val="16"/>
                <w:lang w:val="es-PR"/>
              </w:rPr>
            </w:pPr>
            <w:r w:rsidRPr="000E39F4">
              <w:rPr>
                <w:rFonts w:ascii="Arial" w:hAnsi="Arial" w:cs="Arial"/>
                <w:b/>
                <w:color w:val="000000"/>
                <w:sz w:val="16"/>
                <w:szCs w:val="16"/>
                <w:lang w:val="es-PR"/>
              </w:rPr>
              <w:t>2016-17</w:t>
            </w:r>
          </w:p>
        </w:tc>
      </w:tr>
      <w:tr w:rsidR="00387967" w:rsidRPr="000E39F4" w:rsidTr="00387967">
        <w:trPr>
          <w:jc w:val="center"/>
        </w:trPr>
        <w:tc>
          <w:tcPr>
            <w:tcW w:w="1026" w:type="dxa"/>
            <w:shd w:val="clear" w:color="auto" w:fill="auto"/>
            <w:vAlign w:val="center"/>
          </w:tcPr>
          <w:p w:rsidR="00387967" w:rsidRPr="000E39F4" w:rsidRDefault="00387967" w:rsidP="00387967">
            <w:pPr>
              <w:jc w:val="center"/>
              <w:rPr>
                <w:rFonts w:ascii="Arial" w:hAnsi="Arial" w:cs="Arial"/>
                <w:b/>
                <w:color w:val="000000"/>
                <w:sz w:val="16"/>
                <w:szCs w:val="16"/>
                <w:lang w:val="es-PR"/>
              </w:rPr>
            </w:pPr>
            <w:r w:rsidRPr="000E39F4">
              <w:rPr>
                <w:rFonts w:ascii="Arial" w:hAnsi="Arial" w:cs="Arial"/>
                <w:b/>
                <w:color w:val="000000"/>
                <w:sz w:val="16"/>
                <w:szCs w:val="16"/>
                <w:lang w:val="es-PR"/>
              </w:rPr>
              <w:t>CRTSP</w:t>
            </w:r>
            <w:r w:rsidRPr="000E39F4">
              <w:rPr>
                <w:rFonts w:ascii="Arial" w:hAnsi="Arial" w:cs="Arial"/>
                <w:b/>
                <w:color w:val="000000"/>
                <w:sz w:val="16"/>
                <w:szCs w:val="16"/>
                <w:lang w:val="es-PR"/>
              </w:rPr>
              <w:br/>
              <w:t>Radicados</w:t>
            </w:r>
          </w:p>
        </w:tc>
        <w:tc>
          <w:tcPr>
            <w:tcW w:w="698" w:type="dxa"/>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1,209</w:t>
            </w:r>
          </w:p>
        </w:tc>
        <w:tc>
          <w:tcPr>
            <w:tcW w:w="698" w:type="dxa"/>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1,690</w:t>
            </w:r>
          </w:p>
        </w:tc>
        <w:tc>
          <w:tcPr>
            <w:tcW w:w="698" w:type="dxa"/>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1,407</w:t>
            </w:r>
          </w:p>
        </w:tc>
        <w:tc>
          <w:tcPr>
            <w:tcW w:w="698" w:type="dxa"/>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2,930</w:t>
            </w:r>
          </w:p>
        </w:tc>
        <w:tc>
          <w:tcPr>
            <w:tcW w:w="698" w:type="dxa"/>
            <w:shd w:val="clear" w:color="auto" w:fill="F3F3F3"/>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646</w:t>
            </w:r>
          </w:p>
        </w:tc>
        <w:tc>
          <w:tcPr>
            <w:tcW w:w="698" w:type="dxa"/>
            <w:shd w:val="clear" w:color="auto" w:fill="F3F3F3"/>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698" w:type="dxa"/>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698" w:type="dxa"/>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698" w:type="dxa"/>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698" w:type="dxa"/>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672" w:type="dxa"/>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672" w:type="dxa"/>
            <w:vAlign w:val="center"/>
          </w:tcPr>
          <w:p w:rsidR="00387967" w:rsidRPr="000E39F4" w:rsidRDefault="00387967" w:rsidP="00387967">
            <w:pPr>
              <w:jc w:val="center"/>
              <w:rPr>
                <w:rFonts w:ascii="Arial" w:hAnsi="Arial" w:cs="Arial"/>
                <w:color w:val="000000"/>
                <w:sz w:val="16"/>
                <w:szCs w:val="16"/>
                <w:lang w:val="es-PR"/>
              </w:rPr>
            </w:pPr>
          </w:p>
        </w:tc>
      </w:tr>
      <w:tr w:rsidR="00387967" w:rsidRPr="000E39F4" w:rsidTr="00387967">
        <w:trPr>
          <w:jc w:val="center"/>
        </w:trPr>
        <w:tc>
          <w:tcPr>
            <w:tcW w:w="1026" w:type="dxa"/>
            <w:shd w:val="clear" w:color="auto" w:fill="auto"/>
            <w:vAlign w:val="center"/>
          </w:tcPr>
          <w:p w:rsidR="00387967" w:rsidRPr="000E39F4" w:rsidRDefault="00387967" w:rsidP="00387967">
            <w:pPr>
              <w:jc w:val="center"/>
              <w:rPr>
                <w:rFonts w:ascii="Arial" w:hAnsi="Arial" w:cs="Arial"/>
                <w:b/>
                <w:color w:val="000000"/>
                <w:sz w:val="16"/>
                <w:szCs w:val="16"/>
                <w:lang w:val="es-PR"/>
              </w:rPr>
            </w:pPr>
            <w:r w:rsidRPr="000E39F4">
              <w:rPr>
                <w:rFonts w:ascii="Arial" w:hAnsi="Arial" w:cs="Arial"/>
                <w:b/>
                <w:color w:val="000000"/>
                <w:sz w:val="16"/>
                <w:szCs w:val="16"/>
                <w:lang w:val="es-PR"/>
              </w:rPr>
              <w:t>CRTSP</w:t>
            </w:r>
            <w:r w:rsidRPr="000E39F4">
              <w:rPr>
                <w:rFonts w:ascii="Arial" w:hAnsi="Arial" w:cs="Arial"/>
                <w:b/>
                <w:color w:val="000000"/>
                <w:sz w:val="16"/>
                <w:szCs w:val="16"/>
                <w:lang w:val="es-PR"/>
              </w:rPr>
              <w:br/>
              <w:t>Resueltos</w:t>
            </w:r>
          </w:p>
        </w:tc>
        <w:tc>
          <w:tcPr>
            <w:tcW w:w="698" w:type="dxa"/>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1,150</w:t>
            </w:r>
          </w:p>
        </w:tc>
        <w:tc>
          <w:tcPr>
            <w:tcW w:w="698" w:type="dxa"/>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982</w:t>
            </w:r>
          </w:p>
        </w:tc>
        <w:tc>
          <w:tcPr>
            <w:tcW w:w="698" w:type="dxa"/>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862</w:t>
            </w:r>
          </w:p>
        </w:tc>
        <w:tc>
          <w:tcPr>
            <w:tcW w:w="698" w:type="dxa"/>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855</w:t>
            </w:r>
          </w:p>
        </w:tc>
        <w:tc>
          <w:tcPr>
            <w:tcW w:w="698" w:type="dxa"/>
            <w:shd w:val="clear" w:color="auto" w:fill="F3F3F3"/>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459</w:t>
            </w:r>
          </w:p>
        </w:tc>
        <w:tc>
          <w:tcPr>
            <w:tcW w:w="698" w:type="dxa"/>
            <w:shd w:val="clear" w:color="auto" w:fill="F3F3F3"/>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698" w:type="dxa"/>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698" w:type="dxa"/>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698" w:type="dxa"/>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698" w:type="dxa"/>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672" w:type="dxa"/>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672" w:type="dxa"/>
            <w:vAlign w:val="center"/>
          </w:tcPr>
          <w:p w:rsidR="00387967" w:rsidRPr="000E39F4" w:rsidRDefault="00387967" w:rsidP="00387967">
            <w:pPr>
              <w:jc w:val="center"/>
              <w:rPr>
                <w:rFonts w:ascii="Arial" w:hAnsi="Arial" w:cs="Arial"/>
                <w:color w:val="000000"/>
                <w:sz w:val="16"/>
                <w:szCs w:val="16"/>
                <w:lang w:val="es-PR"/>
              </w:rPr>
            </w:pPr>
          </w:p>
        </w:tc>
      </w:tr>
      <w:tr w:rsidR="00387967" w:rsidRPr="000E39F4" w:rsidTr="00387967">
        <w:trPr>
          <w:jc w:val="center"/>
        </w:trPr>
        <w:tc>
          <w:tcPr>
            <w:tcW w:w="1026" w:type="dxa"/>
            <w:shd w:val="clear" w:color="auto" w:fill="auto"/>
            <w:vAlign w:val="center"/>
          </w:tcPr>
          <w:p w:rsidR="00387967" w:rsidRPr="000E39F4" w:rsidRDefault="00387967" w:rsidP="00387967">
            <w:pPr>
              <w:jc w:val="center"/>
              <w:rPr>
                <w:rFonts w:ascii="Arial" w:hAnsi="Arial" w:cs="Arial"/>
                <w:b/>
                <w:color w:val="000000"/>
                <w:sz w:val="16"/>
                <w:szCs w:val="16"/>
                <w:lang w:val="es-PR"/>
              </w:rPr>
            </w:pPr>
            <w:r w:rsidRPr="000E39F4">
              <w:rPr>
                <w:rFonts w:ascii="Arial" w:hAnsi="Arial" w:cs="Arial"/>
                <w:b/>
                <w:color w:val="000000"/>
                <w:sz w:val="16"/>
                <w:szCs w:val="16"/>
                <w:lang w:val="es-PR"/>
              </w:rPr>
              <w:t>CASARH</w:t>
            </w:r>
            <w:r w:rsidRPr="000E39F4">
              <w:rPr>
                <w:rFonts w:ascii="Arial" w:hAnsi="Arial" w:cs="Arial"/>
                <w:b/>
                <w:color w:val="000000"/>
                <w:sz w:val="16"/>
                <w:szCs w:val="16"/>
                <w:lang w:val="es-PR"/>
              </w:rPr>
              <w:br/>
              <w:t>Radicados</w:t>
            </w:r>
          </w:p>
        </w:tc>
        <w:tc>
          <w:tcPr>
            <w:tcW w:w="698" w:type="dxa"/>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1,159</w:t>
            </w:r>
          </w:p>
        </w:tc>
        <w:tc>
          <w:tcPr>
            <w:tcW w:w="698" w:type="dxa"/>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1,074</w:t>
            </w:r>
          </w:p>
        </w:tc>
        <w:tc>
          <w:tcPr>
            <w:tcW w:w="698" w:type="dxa"/>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1,000</w:t>
            </w:r>
          </w:p>
        </w:tc>
        <w:tc>
          <w:tcPr>
            <w:tcW w:w="698" w:type="dxa"/>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1,043</w:t>
            </w:r>
          </w:p>
        </w:tc>
        <w:tc>
          <w:tcPr>
            <w:tcW w:w="698" w:type="dxa"/>
            <w:shd w:val="clear" w:color="auto" w:fill="F3F3F3"/>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3,007</w:t>
            </w:r>
          </w:p>
        </w:tc>
        <w:tc>
          <w:tcPr>
            <w:tcW w:w="698" w:type="dxa"/>
            <w:shd w:val="clear" w:color="auto" w:fill="F3F3F3"/>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698" w:type="dxa"/>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698" w:type="dxa"/>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698" w:type="dxa"/>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698" w:type="dxa"/>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672" w:type="dxa"/>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672" w:type="dxa"/>
            <w:vAlign w:val="center"/>
          </w:tcPr>
          <w:p w:rsidR="00387967" w:rsidRPr="000E39F4" w:rsidRDefault="00387967" w:rsidP="00387967">
            <w:pPr>
              <w:jc w:val="center"/>
              <w:rPr>
                <w:rFonts w:ascii="Arial" w:hAnsi="Arial" w:cs="Arial"/>
                <w:color w:val="000000"/>
                <w:sz w:val="16"/>
                <w:szCs w:val="16"/>
                <w:lang w:val="es-PR"/>
              </w:rPr>
            </w:pPr>
          </w:p>
        </w:tc>
      </w:tr>
      <w:tr w:rsidR="00387967" w:rsidRPr="000E39F4" w:rsidTr="00387967">
        <w:trPr>
          <w:jc w:val="center"/>
        </w:trPr>
        <w:tc>
          <w:tcPr>
            <w:tcW w:w="1026" w:type="dxa"/>
            <w:shd w:val="clear" w:color="auto" w:fill="auto"/>
            <w:vAlign w:val="center"/>
          </w:tcPr>
          <w:p w:rsidR="00387967" w:rsidRPr="000E39F4" w:rsidRDefault="00387967" w:rsidP="00387967">
            <w:pPr>
              <w:jc w:val="center"/>
              <w:rPr>
                <w:rFonts w:ascii="Arial" w:hAnsi="Arial" w:cs="Arial"/>
                <w:b/>
                <w:color w:val="000000"/>
                <w:sz w:val="16"/>
                <w:szCs w:val="16"/>
                <w:lang w:val="es-PR"/>
              </w:rPr>
            </w:pPr>
            <w:r w:rsidRPr="000E39F4">
              <w:rPr>
                <w:rFonts w:ascii="Arial" w:hAnsi="Arial" w:cs="Arial"/>
                <w:b/>
                <w:color w:val="000000"/>
                <w:sz w:val="16"/>
                <w:szCs w:val="16"/>
                <w:lang w:val="es-PR"/>
              </w:rPr>
              <w:lastRenderedPageBreak/>
              <w:t>CASARH</w:t>
            </w:r>
            <w:r w:rsidRPr="000E39F4">
              <w:rPr>
                <w:rFonts w:ascii="Arial" w:hAnsi="Arial" w:cs="Arial"/>
                <w:b/>
                <w:color w:val="000000"/>
                <w:sz w:val="16"/>
                <w:szCs w:val="16"/>
                <w:lang w:val="es-PR"/>
              </w:rPr>
              <w:br/>
              <w:t>Resueltos</w:t>
            </w:r>
          </w:p>
        </w:tc>
        <w:tc>
          <w:tcPr>
            <w:tcW w:w="698" w:type="dxa"/>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1,274</w:t>
            </w:r>
          </w:p>
        </w:tc>
        <w:tc>
          <w:tcPr>
            <w:tcW w:w="698" w:type="dxa"/>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1,680</w:t>
            </w:r>
          </w:p>
        </w:tc>
        <w:tc>
          <w:tcPr>
            <w:tcW w:w="698" w:type="dxa"/>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1,402</w:t>
            </w:r>
          </w:p>
        </w:tc>
        <w:tc>
          <w:tcPr>
            <w:tcW w:w="698" w:type="dxa"/>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413</w:t>
            </w:r>
          </w:p>
        </w:tc>
        <w:tc>
          <w:tcPr>
            <w:tcW w:w="698" w:type="dxa"/>
            <w:shd w:val="clear" w:color="auto" w:fill="F3F3F3"/>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801</w:t>
            </w:r>
          </w:p>
        </w:tc>
        <w:tc>
          <w:tcPr>
            <w:tcW w:w="698" w:type="dxa"/>
            <w:shd w:val="clear" w:color="auto" w:fill="F3F3F3"/>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698" w:type="dxa"/>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698" w:type="dxa"/>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698" w:type="dxa"/>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698" w:type="dxa"/>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672" w:type="dxa"/>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672" w:type="dxa"/>
            <w:vAlign w:val="center"/>
          </w:tcPr>
          <w:p w:rsidR="00387967" w:rsidRPr="000E39F4" w:rsidRDefault="00387967" w:rsidP="00387967">
            <w:pPr>
              <w:jc w:val="center"/>
              <w:rPr>
                <w:rFonts w:ascii="Arial" w:hAnsi="Arial" w:cs="Arial"/>
                <w:color w:val="000000"/>
                <w:sz w:val="16"/>
                <w:szCs w:val="16"/>
                <w:lang w:val="es-PR"/>
              </w:rPr>
            </w:pPr>
          </w:p>
        </w:tc>
      </w:tr>
      <w:tr w:rsidR="00387967" w:rsidRPr="000E39F4" w:rsidTr="00387967">
        <w:trPr>
          <w:jc w:val="center"/>
        </w:trPr>
        <w:tc>
          <w:tcPr>
            <w:tcW w:w="1026" w:type="dxa"/>
            <w:shd w:val="clear" w:color="auto" w:fill="auto"/>
            <w:vAlign w:val="center"/>
          </w:tcPr>
          <w:p w:rsidR="00387967" w:rsidRPr="000E39F4" w:rsidRDefault="00387967" w:rsidP="00387967">
            <w:pPr>
              <w:jc w:val="center"/>
              <w:rPr>
                <w:rFonts w:ascii="Arial" w:hAnsi="Arial" w:cs="Arial"/>
                <w:b/>
                <w:color w:val="000000"/>
                <w:sz w:val="16"/>
                <w:szCs w:val="16"/>
                <w:lang w:val="es-PR"/>
              </w:rPr>
            </w:pPr>
            <w:r w:rsidRPr="000E39F4">
              <w:rPr>
                <w:rFonts w:ascii="Arial" w:hAnsi="Arial" w:cs="Arial"/>
                <w:b/>
                <w:color w:val="000000"/>
                <w:sz w:val="16"/>
                <w:szCs w:val="16"/>
                <w:lang w:val="es-PR"/>
              </w:rPr>
              <w:t>CASP</w:t>
            </w:r>
            <w:r w:rsidRPr="000E39F4">
              <w:rPr>
                <w:rFonts w:ascii="Arial" w:hAnsi="Arial" w:cs="Arial"/>
                <w:b/>
                <w:color w:val="000000"/>
                <w:sz w:val="16"/>
                <w:szCs w:val="16"/>
                <w:lang w:val="es-PR"/>
              </w:rPr>
              <w:br/>
              <w:t>Radicados</w:t>
            </w:r>
          </w:p>
        </w:tc>
        <w:tc>
          <w:tcPr>
            <w:tcW w:w="698" w:type="dxa"/>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698" w:type="dxa"/>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698" w:type="dxa"/>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698" w:type="dxa"/>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698" w:type="dxa"/>
            <w:shd w:val="clear" w:color="auto" w:fill="F3F3F3"/>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698" w:type="dxa"/>
            <w:shd w:val="clear" w:color="auto" w:fill="F3F3F3"/>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1,163</w:t>
            </w:r>
          </w:p>
        </w:tc>
        <w:tc>
          <w:tcPr>
            <w:tcW w:w="698" w:type="dxa"/>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4,497</w:t>
            </w:r>
          </w:p>
        </w:tc>
        <w:tc>
          <w:tcPr>
            <w:tcW w:w="698" w:type="dxa"/>
            <w:shd w:val="clear" w:color="auto" w:fill="auto"/>
            <w:vAlign w:val="center"/>
          </w:tcPr>
          <w:p w:rsidR="00387967" w:rsidRPr="000E39F4" w:rsidRDefault="00387967" w:rsidP="00387967">
            <w:pPr>
              <w:jc w:val="center"/>
              <w:rPr>
                <w:rFonts w:ascii="Arial" w:hAnsi="Arial" w:cs="Arial"/>
                <w:color w:val="000000"/>
                <w:sz w:val="16"/>
                <w:szCs w:val="16"/>
                <w:lang w:val="es-PR" w:eastAsia="es-PR"/>
              </w:rPr>
            </w:pPr>
            <w:r w:rsidRPr="000E39F4">
              <w:rPr>
                <w:rFonts w:ascii="Arial" w:hAnsi="Arial" w:cs="Arial"/>
                <w:color w:val="000000"/>
                <w:sz w:val="16"/>
                <w:szCs w:val="16"/>
              </w:rPr>
              <w:t>3,647</w:t>
            </w:r>
          </w:p>
        </w:tc>
        <w:tc>
          <w:tcPr>
            <w:tcW w:w="698" w:type="dxa"/>
            <w:shd w:val="clear" w:color="auto" w:fill="auto"/>
            <w:vAlign w:val="center"/>
          </w:tcPr>
          <w:p w:rsidR="00387967" w:rsidRPr="000E39F4" w:rsidRDefault="00387967" w:rsidP="00387967">
            <w:pPr>
              <w:jc w:val="center"/>
              <w:rPr>
                <w:rFonts w:ascii="Arial" w:hAnsi="Arial" w:cs="Arial"/>
                <w:color w:val="000000"/>
                <w:sz w:val="16"/>
                <w:szCs w:val="16"/>
              </w:rPr>
            </w:pPr>
            <w:r w:rsidRPr="000E39F4">
              <w:rPr>
                <w:rFonts w:ascii="Arial" w:hAnsi="Arial" w:cs="Arial"/>
                <w:color w:val="000000"/>
                <w:sz w:val="16"/>
                <w:szCs w:val="16"/>
              </w:rPr>
              <w:t>2,825</w:t>
            </w:r>
          </w:p>
        </w:tc>
        <w:tc>
          <w:tcPr>
            <w:tcW w:w="698" w:type="dxa"/>
            <w:vAlign w:val="center"/>
          </w:tcPr>
          <w:p w:rsidR="00387967" w:rsidRPr="000E39F4" w:rsidRDefault="00387967" w:rsidP="00387967">
            <w:pPr>
              <w:jc w:val="center"/>
              <w:rPr>
                <w:rFonts w:ascii="Arial" w:hAnsi="Arial" w:cs="Arial"/>
                <w:color w:val="000000"/>
                <w:sz w:val="16"/>
                <w:szCs w:val="16"/>
              </w:rPr>
            </w:pPr>
            <w:r w:rsidRPr="000E39F4">
              <w:rPr>
                <w:rFonts w:ascii="Arial" w:hAnsi="Arial" w:cs="Arial"/>
                <w:color w:val="000000"/>
                <w:sz w:val="16"/>
                <w:szCs w:val="16"/>
              </w:rPr>
              <w:t>3,743</w:t>
            </w:r>
          </w:p>
        </w:tc>
        <w:tc>
          <w:tcPr>
            <w:tcW w:w="672" w:type="dxa"/>
            <w:vAlign w:val="center"/>
          </w:tcPr>
          <w:p w:rsidR="00387967" w:rsidRPr="000E39F4" w:rsidRDefault="00387967" w:rsidP="00387967">
            <w:pPr>
              <w:jc w:val="center"/>
              <w:rPr>
                <w:rFonts w:ascii="Arial" w:hAnsi="Arial" w:cs="Arial"/>
                <w:color w:val="000000"/>
                <w:sz w:val="16"/>
                <w:szCs w:val="16"/>
              </w:rPr>
            </w:pPr>
            <w:r w:rsidRPr="000E39F4">
              <w:rPr>
                <w:rFonts w:ascii="Arial" w:hAnsi="Arial" w:cs="Arial"/>
                <w:color w:val="000000"/>
                <w:sz w:val="16"/>
                <w:szCs w:val="16"/>
              </w:rPr>
              <w:t>2,855</w:t>
            </w:r>
          </w:p>
        </w:tc>
        <w:tc>
          <w:tcPr>
            <w:tcW w:w="672" w:type="dxa"/>
            <w:vAlign w:val="center"/>
          </w:tcPr>
          <w:p w:rsidR="00387967" w:rsidRPr="000E39F4" w:rsidRDefault="00387967" w:rsidP="00387967">
            <w:pPr>
              <w:jc w:val="center"/>
              <w:rPr>
                <w:rFonts w:ascii="Arial" w:hAnsi="Arial" w:cs="Arial"/>
                <w:color w:val="000000"/>
                <w:sz w:val="16"/>
                <w:szCs w:val="16"/>
              </w:rPr>
            </w:pPr>
            <w:r w:rsidRPr="000E39F4">
              <w:rPr>
                <w:rFonts w:ascii="Arial" w:hAnsi="Arial" w:cs="Arial"/>
                <w:color w:val="000000"/>
                <w:sz w:val="16"/>
                <w:szCs w:val="16"/>
              </w:rPr>
              <w:t>706</w:t>
            </w:r>
          </w:p>
        </w:tc>
      </w:tr>
      <w:tr w:rsidR="00387967" w:rsidRPr="000E39F4" w:rsidTr="00387967">
        <w:trPr>
          <w:jc w:val="center"/>
        </w:trPr>
        <w:tc>
          <w:tcPr>
            <w:tcW w:w="1026" w:type="dxa"/>
            <w:shd w:val="clear" w:color="auto" w:fill="auto"/>
            <w:vAlign w:val="center"/>
          </w:tcPr>
          <w:p w:rsidR="00387967" w:rsidRPr="000E39F4" w:rsidRDefault="00387967" w:rsidP="00387967">
            <w:pPr>
              <w:jc w:val="center"/>
              <w:rPr>
                <w:rFonts w:ascii="Arial" w:hAnsi="Arial" w:cs="Arial"/>
                <w:b/>
                <w:color w:val="000000"/>
                <w:sz w:val="16"/>
                <w:szCs w:val="16"/>
                <w:lang w:val="es-PR"/>
              </w:rPr>
            </w:pPr>
            <w:r w:rsidRPr="000E39F4">
              <w:rPr>
                <w:rFonts w:ascii="Arial" w:hAnsi="Arial" w:cs="Arial"/>
                <w:b/>
                <w:color w:val="000000"/>
                <w:sz w:val="16"/>
                <w:szCs w:val="16"/>
                <w:lang w:val="es-PR"/>
              </w:rPr>
              <w:t>CASP</w:t>
            </w:r>
            <w:r w:rsidRPr="000E39F4">
              <w:rPr>
                <w:rFonts w:ascii="Arial" w:hAnsi="Arial" w:cs="Arial"/>
                <w:b/>
                <w:color w:val="000000"/>
                <w:sz w:val="16"/>
                <w:szCs w:val="16"/>
                <w:lang w:val="es-PR"/>
              </w:rPr>
              <w:br/>
              <w:t>Resueltos</w:t>
            </w:r>
          </w:p>
        </w:tc>
        <w:tc>
          <w:tcPr>
            <w:tcW w:w="698" w:type="dxa"/>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698" w:type="dxa"/>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698" w:type="dxa"/>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698" w:type="dxa"/>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698" w:type="dxa"/>
            <w:shd w:val="clear" w:color="auto" w:fill="F3F3F3"/>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w:t>
            </w:r>
          </w:p>
        </w:tc>
        <w:tc>
          <w:tcPr>
            <w:tcW w:w="698" w:type="dxa"/>
            <w:shd w:val="clear" w:color="auto" w:fill="F3F3F3"/>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920</w:t>
            </w:r>
          </w:p>
        </w:tc>
        <w:tc>
          <w:tcPr>
            <w:tcW w:w="698" w:type="dxa"/>
            <w:shd w:val="clear" w:color="auto" w:fill="auto"/>
            <w:vAlign w:val="center"/>
          </w:tcPr>
          <w:p w:rsidR="00387967" w:rsidRPr="000E39F4" w:rsidRDefault="00387967" w:rsidP="00387967">
            <w:pPr>
              <w:jc w:val="center"/>
              <w:rPr>
                <w:rFonts w:ascii="Arial" w:hAnsi="Arial" w:cs="Arial"/>
                <w:color w:val="000000"/>
                <w:sz w:val="16"/>
                <w:szCs w:val="16"/>
                <w:lang w:val="es-PR"/>
              </w:rPr>
            </w:pPr>
            <w:r w:rsidRPr="000E39F4">
              <w:rPr>
                <w:rFonts w:ascii="Arial" w:hAnsi="Arial" w:cs="Arial"/>
                <w:color w:val="000000"/>
                <w:sz w:val="16"/>
                <w:szCs w:val="16"/>
                <w:lang w:val="es-PR"/>
              </w:rPr>
              <w:t>2,645</w:t>
            </w:r>
          </w:p>
        </w:tc>
        <w:tc>
          <w:tcPr>
            <w:tcW w:w="698" w:type="dxa"/>
            <w:shd w:val="clear" w:color="auto" w:fill="auto"/>
            <w:vAlign w:val="center"/>
          </w:tcPr>
          <w:p w:rsidR="00387967" w:rsidRPr="000E39F4" w:rsidRDefault="00387967" w:rsidP="00387967">
            <w:pPr>
              <w:jc w:val="center"/>
              <w:rPr>
                <w:rFonts w:ascii="Arial" w:hAnsi="Arial" w:cs="Arial"/>
                <w:color w:val="000000"/>
                <w:sz w:val="16"/>
                <w:szCs w:val="16"/>
              </w:rPr>
            </w:pPr>
            <w:r w:rsidRPr="000E39F4">
              <w:rPr>
                <w:rFonts w:ascii="Arial" w:hAnsi="Arial" w:cs="Arial"/>
                <w:color w:val="000000"/>
                <w:sz w:val="16"/>
                <w:szCs w:val="16"/>
              </w:rPr>
              <w:t>3,679</w:t>
            </w:r>
          </w:p>
        </w:tc>
        <w:tc>
          <w:tcPr>
            <w:tcW w:w="698" w:type="dxa"/>
            <w:shd w:val="clear" w:color="auto" w:fill="auto"/>
            <w:vAlign w:val="center"/>
          </w:tcPr>
          <w:p w:rsidR="00387967" w:rsidRPr="000E39F4" w:rsidRDefault="00387967" w:rsidP="00387967">
            <w:pPr>
              <w:jc w:val="center"/>
              <w:rPr>
                <w:rFonts w:ascii="Arial" w:hAnsi="Arial" w:cs="Arial"/>
                <w:color w:val="000000"/>
                <w:sz w:val="16"/>
                <w:szCs w:val="16"/>
              </w:rPr>
            </w:pPr>
            <w:r w:rsidRPr="000E39F4">
              <w:rPr>
                <w:rFonts w:ascii="Arial" w:hAnsi="Arial" w:cs="Arial"/>
                <w:color w:val="000000"/>
                <w:sz w:val="16"/>
                <w:szCs w:val="16"/>
              </w:rPr>
              <w:t>3,162</w:t>
            </w:r>
          </w:p>
        </w:tc>
        <w:tc>
          <w:tcPr>
            <w:tcW w:w="698" w:type="dxa"/>
            <w:vAlign w:val="center"/>
          </w:tcPr>
          <w:p w:rsidR="00387967" w:rsidRPr="000E39F4" w:rsidRDefault="00387967" w:rsidP="00387967">
            <w:pPr>
              <w:jc w:val="center"/>
              <w:rPr>
                <w:rFonts w:ascii="Arial" w:hAnsi="Arial" w:cs="Arial"/>
                <w:color w:val="000000"/>
                <w:sz w:val="16"/>
                <w:szCs w:val="16"/>
              </w:rPr>
            </w:pPr>
            <w:r w:rsidRPr="000E39F4">
              <w:rPr>
                <w:rFonts w:ascii="Arial" w:hAnsi="Arial" w:cs="Arial"/>
                <w:color w:val="000000"/>
                <w:sz w:val="16"/>
                <w:szCs w:val="16"/>
              </w:rPr>
              <w:t>6,114</w:t>
            </w:r>
          </w:p>
        </w:tc>
        <w:tc>
          <w:tcPr>
            <w:tcW w:w="672" w:type="dxa"/>
            <w:vAlign w:val="center"/>
          </w:tcPr>
          <w:p w:rsidR="00387967" w:rsidRPr="000E39F4" w:rsidRDefault="00387967" w:rsidP="00387967">
            <w:pPr>
              <w:jc w:val="center"/>
              <w:rPr>
                <w:rFonts w:ascii="Arial" w:hAnsi="Arial" w:cs="Arial"/>
                <w:color w:val="000000"/>
                <w:sz w:val="16"/>
                <w:szCs w:val="16"/>
              </w:rPr>
            </w:pPr>
            <w:r w:rsidRPr="000E39F4">
              <w:rPr>
                <w:rFonts w:ascii="Arial" w:hAnsi="Arial" w:cs="Arial"/>
                <w:color w:val="000000"/>
                <w:sz w:val="16"/>
                <w:szCs w:val="16"/>
              </w:rPr>
              <w:t>3,111</w:t>
            </w:r>
          </w:p>
        </w:tc>
        <w:tc>
          <w:tcPr>
            <w:tcW w:w="672" w:type="dxa"/>
            <w:vAlign w:val="center"/>
          </w:tcPr>
          <w:p w:rsidR="00387967" w:rsidRPr="000E39F4" w:rsidRDefault="00387967" w:rsidP="00387967">
            <w:pPr>
              <w:jc w:val="center"/>
              <w:rPr>
                <w:rFonts w:ascii="Arial" w:hAnsi="Arial" w:cs="Arial"/>
                <w:color w:val="000000"/>
                <w:sz w:val="16"/>
                <w:szCs w:val="16"/>
              </w:rPr>
            </w:pPr>
            <w:r w:rsidRPr="000E39F4">
              <w:rPr>
                <w:rFonts w:ascii="Arial" w:hAnsi="Arial" w:cs="Arial"/>
                <w:color w:val="000000"/>
                <w:sz w:val="16"/>
                <w:szCs w:val="16"/>
              </w:rPr>
              <w:t>732</w:t>
            </w:r>
          </w:p>
        </w:tc>
      </w:tr>
    </w:tbl>
    <w:p w:rsidR="008E7C20" w:rsidRPr="000E39F4" w:rsidRDefault="008E7C20" w:rsidP="008E7C20">
      <w:pPr>
        <w:spacing w:before="120" w:after="120"/>
        <w:jc w:val="both"/>
        <w:rPr>
          <w:rFonts w:ascii="Arial" w:hAnsi="Arial" w:cs="Arial"/>
          <w:lang w:val="es-PR" w:eastAsia="es-PR"/>
        </w:rPr>
      </w:pPr>
      <w:r w:rsidRPr="000E39F4">
        <w:rPr>
          <w:rFonts w:ascii="Arial" w:hAnsi="Arial" w:cs="Arial"/>
          <w:lang w:val="es-PR" w:eastAsia="es-PR"/>
        </w:rPr>
        <w:t>Conforme a la información contenida en las Tablas anterior</w:t>
      </w:r>
      <w:r w:rsidR="007633DB" w:rsidRPr="000E39F4">
        <w:rPr>
          <w:rFonts w:ascii="Arial" w:hAnsi="Arial" w:cs="Arial"/>
          <w:lang w:val="es-PR" w:eastAsia="es-PR"/>
        </w:rPr>
        <w:t>es</w:t>
      </w:r>
      <w:r w:rsidRPr="000E39F4">
        <w:rPr>
          <w:rFonts w:ascii="Arial" w:hAnsi="Arial" w:cs="Arial"/>
          <w:lang w:val="es-PR" w:eastAsia="es-PR"/>
        </w:rPr>
        <w:t xml:space="preserve">, </w:t>
      </w:r>
      <w:r w:rsidR="007633DB" w:rsidRPr="000E39F4">
        <w:rPr>
          <w:rFonts w:ascii="Arial" w:hAnsi="Arial" w:cs="Arial"/>
          <w:lang w:val="es-PR" w:eastAsia="es-PR"/>
        </w:rPr>
        <w:t>destacamos</w:t>
      </w:r>
      <w:r w:rsidRPr="000E39F4">
        <w:rPr>
          <w:rFonts w:ascii="Arial" w:hAnsi="Arial" w:cs="Arial"/>
          <w:lang w:val="es-PR" w:eastAsia="es-PR"/>
        </w:rPr>
        <w:t xml:space="preserve"> lo siguiente:</w:t>
      </w:r>
    </w:p>
    <w:p w:rsidR="008E7C20" w:rsidRPr="000E39F4" w:rsidRDefault="008E7C20" w:rsidP="008E7C20">
      <w:pPr>
        <w:numPr>
          <w:ilvl w:val="0"/>
          <w:numId w:val="2"/>
        </w:numPr>
        <w:spacing w:after="120"/>
        <w:jc w:val="both"/>
        <w:rPr>
          <w:rFonts w:ascii="Arial" w:hAnsi="Arial" w:cs="Arial"/>
          <w:lang w:val="es-PR" w:eastAsia="es-PR"/>
        </w:rPr>
      </w:pPr>
      <w:r w:rsidRPr="000E39F4">
        <w:rPr>
          <w:rFonts w:ascii="Arial" w:hAnsi="Arial" w:cs="Arial"/>
          <w:lang w:val="es-PR" w:eastAsia="es-PR"/>
        </w:rPr>
        <w:t xml:space="preserve">Sin tomar en cuenta el efecto que tuvo la implantación de la Ley Núm. 7 (Tabla </w:t>
      </w:r>
      <w:r w:rsidR="007633DB" w:rsidRPr="000E39F4">
        <w:rPr>
          <w:rFonts w:ascii="Arial" w:hAnsi="Arial" w:cs="Arial"/>
          <w:lang w:val="es-PR" w:eastAsia="es-PR"/>
        </w:rPr>
        <w:t>2</w:t>
      </w:r>
      <w:r w:rsidRPr="000E39F4">
        <w:rPr>
          <w:rFonts w:ascii="Arial" w:hAnsi="Arial" w:cs="Arial"/>
          <w:lang w:val="es-PR" w:eastAsia="es-PR"/>
        </w:rPr>
        <w:t xml:space="preserve">) </w:t>
      </w:r>
      <w:r w:rsidRPr="000E39F4">
        <w:rPr>
          <w:rFonts w:ascii="Arial" w:hAnsi="Arial" w:cs="Arial"/>
          <w:lang w:val="es-PR"/>
        </w:rPr>
        <w:t xml:space="preserve">el promedio de casos </w:t>
      </w:r>
      <w:r w:rsidRPr="000E39F4">
        <w:rPr>
          <w:rFonts w:ascii="Arial" w:hAnsi="Arial" w:cs="Arial"/>
          <w:b/>
          <w:lang w:val="es-PR"/>
        </w:rPr>
        <w:t>radicados</w:t>
      </w:r>
      <w:r w:rsidRPr="000E39F4">
        <w:rPr>
          <w:rFonts w:ascii="Arial" w:hAnsi="Arial" w:cs="Arial"/>
          <w:lang w:val="es-PR"/>
        </w:rPr>
        <w:t xml:space="preserve"> por año fiscal ante la CRTSP/CASARH desde el Año Fiscal 2006-07 hasta el Año Fiscal 2009-10 fue de 2,878 mientras que el de la CASP desde el Año Fiscal 2011-12 al 30 de junio de 2015 es de 3,678.  Esto representa un </w:t>
      </w:r>
      <w:r w:rsidRPr="000E39F4">
        <w:rPr>
          <w:rFonts w:ascii="Arial" w:hAnsi="Arial" w:cs="Arial"/>
          <w:b/>
          <w:lang w:val="es-PR" w:eastAsia="es-PR"/>
        </w:rPr>
        <w:t>aumento</w:t>
      </w:r>
      <w:r w:rsidRPr="000E39F4">
        <w:rPr>
          <w:rFonts w:ascii="Arial" w:hAnsi="Arial" w:cs="Arial"/>
          <w:lang w:val="es-PR" w:eastAsia="es-PR"/>
        </w:rPr>
        <w:t xml:space="preserve"> en el promedio de casos </w:t>
      </w:r>
      <w:r w:rsidRPr="000E39F4">
        <w:rPr>
          <w:rFonts w:ascii="Arial" w:hAnsi="Arial" w:cs="Arial"/>
          <w:b/>
          <w:lang w:val="es-PR" w:eastAsia="es-PR"/>
        </w:rPr>
        <w:t>radicados</w:t>
      </w:r>
      <w:r w:rsidRPr="000E39F4">
        <w:rPr>
          <w:rFonts w:ascii="Arial" w:hAnsi="Arial" w:cs="Arial"/>
          <w:lang w:val="es-PR" w:eastAsia="es-PR"/>
        </w:rPr>
        <w:t xml:space="preserve"> por año fiscal ante la CASP de un 28% cuando se compara con el promedio de casos radicados ante la CRTSP y la CASARH juntas en un período de tiempo similar</w:t>
      </w:r>
      <w:r w:rsidRPr="000E39F4">
        <w:rPr>
          <w:rStyle w:val="FootnoteReference"/>
          <w:rFonts w:ascii="Arial" w:hAnsi="Arial" w:cs="Arial"/>
          <w:lang w:val="es-PR" w:eastAsia="es-PR"/>
        </w:rPr>
        <w:t xml:space="preserve"> </w:t>
      </w:r>
      <w:r w:rsidRPr="000E39F4">
        <w:rPr>
          <w:rFonts w:ascii="Arial" w:hAnsi="Arial" w:cs="Arial"/>
          <w:lang w:val="es-PR" w:eastAsia="es-PR"/>
        </w:rPr>
        <w:t xml:space="preserve"> (4 años)</w:t>
      </w:r>
      <w:r w:rsidRPr="000E39F4">
        <w:rPr>
          <w:rStyle w:val="FootnoteReference"/>
          <w:rFonts w:ascii="Arial" w:hAnsi="Arial" w:cs="Arial"/>
          <w:lang w:val="es-PR" w:eastAsia="es-PR"/>
        </w:rPr>
        <w:footnoteReference w:id="8"/>
      </w:r>
      <w:r w:rsidRPr="000E39F4">
        <w:rPr>
          <w:rFonts w:ascii="Arial" w:hAnsi="Arial" w:cs="Arial"/>
          <w:lang w:val="es-PR" w:eastAsia="es-PR"/>
        </w:rPr>
        <w:t>; y</w:t>
      </w:r>
    </w:p>
    <w:p w:rsidR="008E7C20" w:rsidRPr="000E39F4" w:rsidRDefault="008E7C20" w:rsidP="008E7C20">
      <w:pPr>
        <w:numPr>
          <w:ilvl w:val="0"/>
          <w:numId w:val="2"/>
        </w:numPr>
        <w:spacing w:after="120"/>
        <w:jc w:val="both"/>
        <w:rPr>
          <w:rFonts w:ascii="Arial" w:hAnsi="Arial" w:cs="Arial"/>
          <w:lang w:val="es-PR" w:eastAsia="es-PR"/>
        </w:rPr>
      </w:pPr>
      <w:r w:rsidRPr="000E39F4">
        <w:rPr>
          <w:rFonts w:ascii="Arial" w:hAnsi="Arial" w:cs="Arial"/>
          <w:lang w:val="es-PR" w:eastAsia="es-PR"/>
        </w:rPr>
        <w:t xml:space="preserve">Sin tomar en cuenta el efecto que tuvo la implantación de la Ley Núm. 7 (Tabla </w:t>
      </w:r>
      <w:r w:rsidR="007633DB" w:rsidRPr="000E39F4">
        <w:rPr>
          <w:rFonts w:ascii="Arial" w:hAnsi="Arial" w:cs="Arial"/>
          <w:lang w:val="es-PR" w:eastAsia="es-PR"/>
        </w:rPr>
        <w:t>2</w:t>
      </w:r>
      <w:r w:rsidRPr="000E39F4">
        <w:rPr>
          <w:rFonts w:ascii="Arial" w:hAnsi="Arial" w:cs="Arial"/>
          <w:lang w:val="es-PR" w:eastAsia="es-PR"/>
        </w:rPr>
        <w:t>) e</w:t>
      </w:r>
      <w:r w:rsidRPr="000E39F4">
        <w:rPr>
          <w:rFonts w:ascii="Arial" w:hAnsi="Arial" w:cs="Arial"/>
          <w:lang w:val="es-PR"/>
        </w:rPr>
        <w:t xml:space="preserve">l promedio de casos </w:t>
      </w:r>
      <w:r w:rsidRPr="000E39F4">
        <w:rPr>
          <w:rFonts w:ascii="Arial" w:hAnsi="Arial" w:cs="Arial"/>
          <w:b/>
          <w:lang w:val="es-PR"/>
        </w:rPr>
        <w:t>resueltos</w:t>
      </w:r>
      <w:r w:rsidRPr="000E39F4">
        <w:rPr>
          <w:rFonts w:ascii="Arial" w:hAnsi="Arial" w:cs="Arial"/>
          <w:lang w:val="es-PR"/>
        </w:rPr>
        <w:t xml:space="preserve"> por año fiscal ante la CRTSP/CASARH desde el Año Fiscal 2006-07 hasta el Año Fiscal 2009-10 fue de 2,155 mientras que el de la CASP desde el Año Fiscal 2011-12 al 30 de junio de 2015 es de 3,900.  Esto representa un </w:t>
      </w:r>
      <w:r w:rsidRPr="000E39F4">
        <w:rPr>
          <w:rFonts w:ascii="Arial" w:hAnsi="Arial" w:cs="Arial"/>
          <w:b/>
          <w:lang w:val="es-PR" w:eastAsia="es-PR"/>
        </w:rPr>
        <w:t>aumento</w:t>
      </w:r>
      <w:r w:rsidRPr="000E39F4">
        <w:rPr>
          <w:rFonts w:ascii="Arial" w:hAnsi="Arial" w:cs="Arial"/>
          <w:lang w:val="es-PR" w:eastAsia="es-PR"/>
        </w:rPr>
        <w:t xml:space="preserve"> en el promedio de casos </w:t>
      </w:r>
      <w:r w:rsidRPr="000E39F4">
        <w:rPr>
          <w:rFonts w:ascii="Arial" w:hAnsi="Arial" w:cs="Arial"/>
          <w:b/>
          <w:lang w:val="es-PR" w:eastAsia="es-PR"/>
        </w:rPr>
        <w:t>resueltos</w:t>
      </w:r>
      <w:r w:rsidRPr="000E39F4">
        <w:rPr>
          <w:rFonts w:ascii="Arial" w:hAnsi="Arial" w:cs="Arial"/>
          <w:lang w:val="es-PR" w:eastAsia="es-PR"/>
        </w:rPr>
        <w:t xml:space="preserve"> por año fiscal ante la CASP de un 81% cuando se compara con el promedio de casos resueltos ante la CRTSP y la CASARH juntas en un período de tiempo similar (4 años)</w:t>
      </w:r>
      <w:r w:rsidRPr="000E39F4">
        <w:rPr>
          <w:rStyle w:val="FootnoteReference"/>
          <w:rFonts w:ascii="Arial" w:hAnsi="Arial" w:cs="Arial"/>
          <w:lang w:val="es-PR" w:eastAsia="es-PR"/>
        </w:rPr>
        <w:footnoteReference w:id="9"/>
      </w:r>
      <w:r w:rsidRPr="000E39F4">
        <w:rPr>
          <w:rFonts w:ascii="Arial" w:hAnsi="Arial" w:cs="Arial"/>
          <w:lang w:val="es-PR" w:eastAsia="es-PR"/>
        </w:rPr>
        <w:t>.</w:t>
      </w:r>
    </w:p>
    <w:p w:rsidR="008E7C20" w:rsidRPr="000E39F4" w:rsidRDefault="008E7C20" w:rsidP="008E7C20">
      <w:pPr>
        <w:autoSpaceDE w:val="0"/>
        <w:autoSpaceDN w:val="0"/>
        <w:adjustRightInd w:val="0"/>
        <w:jc w:val="both"/>
        <w:rPr>
          <w:rFonts w:ascii="Arial" w:hAnsi="Arial" w:cs="Arial"/>
          <w:lang w:val="es-PR"/>
        </w:rPr>
      </w:pPr>
      <w:r w:rsidRPr="000E39F4">
        <w:rPr>
          <w:rFonts w:ascii="Arial" w:hAnsi="Arial" w:cs="Arial"/>
          <w:lang w:val="es-PR"/>
        </w:rPr>
        <w:t>La Comisión se ha destacado por atender los casos ante sí celosamente.  D</w:t>
      </w:r>
      <w:r w:rsidR="008237E0" w:rsidRPr="000E39F4">
        <w:rPr>
          <w:rFonts w:ascii="Arial" w:hAnsi="Arial" w:cs="Arial"/>
          <w:lang w:val="es-PR"/>
        </w:rPr>
        <w:t>urante este cuatrienio</w:t>
      </w:r>
      <w:r w:rsidRPr="000E39F4">
        <w:rPr>
          <w:rFonts w:ascii="Arial" w:hAnsi="Arial" w:cs="Arial"/>
          <w:lang w:val="es-PR"/>
        </w:rPr>
        <w:t xml:space="preserve">, la CASP </w:t>
      </w:r>
      <w:r w:rsidRPr="000E39F4">
        <w:rPr>
          <w:rFonts w:ascii="Arial" w:hAnsi="Arial" w:cs="Arial"/>
          <w:b/>
          <w:lang w:val="es-PR"/>
        </w:rPr>
        <w:t xml:space="preserve">ha resuelto </w:t>
      </w:r>
      <w:r w:rsidR="008237E0" w:rsidRPr="000E39F4">
        <w:rPr>
          <w:rFonts w:ascii="Arial" w:hAnsi="Arial" w:cs="Arial"/>
          <w:b/>
          <w:lang w:val="es-PR"/>
        </w:rPr>
        <w:t>15,441</w:t>
      </w:r>
      <w:r w:rsidRPr="000E39F4">
        <w:rPr>
          <w:rFonts w:ascii="Arial" w:hAnsi="Arial" w:cs="Arial"/>
          <w:lang w:val="es-PR"/>
        </w:rPr>
        <w:t xml:space="preserve"> casos </w:t>
      </w:r>
      <w:r w:rsidRPr="000E39F4">
        <w:rPr>
          <w:rFonts w:ascii="Arial" w:hAnsi="Arial" w:cs="Arial"/>
          <w:i/>
          <w:lang w:val="es-PR"/>
        </w:rPr>
        <w:t>vis a vis</w:t>
      </w:r>
      <w:r w:rsidRPr="000E39F4">
        <w:rPr>
          <w:rFonts w:ascii="Arial" w:hAnsi="Arial" w:cs="Arial"/>
          <w:lang w:val="es-PR"/>
        </w:rPr>
        <w:t xml:space="preserve"> </w:t>
      </w:r>
      <w:r w:rsidR="008237E0" w:rsidRPr="000E39F4">
        <w:rPr>
          <w:rFonts w:ascii="Arial" w:hAnsi="Arial" w:cs="Arial"/>
          <w:lang w:val="es-PR"/>
        </w:rPr>
        <w:t>8,256 durante el pasado cuatrienio</w:t>
      </w:r>
      <w:r w:rsidRPr="000E39F4">
        <w:rPr>
          <w:rFonts w:ascii="Arial" w:hAnsi="Arial" w:cs="Arial"/>
          <w:lang w:val="es-PR"/>
        </w:rPr>
        <w:t xml:space="preserve">.  Esto representa un aumento de </w:t>
      </w:r>
      <w:r w:rsidR="008237E0" w:rsidRPr="000E39F4">
        <w:rPr>
          <w:rFonts w:ascii="Arial" w:hAnsi="Arial" w:cs="Arial"/>
          <w:lang w:val="es-PR"/>
        </w:rPr>
        <w:t>87</w:t>
      </w:r>
      <w:r w:rsidRPr="000E39F4">
        <w:rPr>
          <w:rFonts w:ascii="Arial" w:hAnsi="Arial" w:cs="Arial"/>
          <w:lang w:val="es-PR"/>
        </w:rPr>
        <w:t>%</w:t>
      </w:r>
      <w:r w:rsidR="00422247" w:rsidRPr="000E39F4">
        <w:rPr>
          <w:rFonts w:ascii="Arial" w:hAnsi="Arial" w:cs="Arial"/>
          <w:lang w:val="es-PR"/>
        </w:rPr>
        <w:t xml:space="preserve"> en productividad a pesar de la precariedad presupuestaria a la que fue sometida la CASP y a la reducción de personal.  </w:t>
      </w:r>
      <w:r w:rsidRPr="000E39F4">
        <w:rPr>
          <w:rFonts w:ascii="Arial" w:hAnsi="Arial" w:cs="Arial"/>
          <w:lang w:val="es-PR"/>
        </w:rPr>
        <w:t xml:space="preserve">Atender cabalmente los reclamos de los empleados públicos, los Representantes Exclusivos, las Agencias y los Municipios del Estado Libre Asociado es nuestra misión.  Misión que, a pesar de los escollos que se presentan, se </w:t>
      </w:r>
      <w:r w:rsidR="00422247" w:rsidRPr="000E39F4">
        <w:rPr>
          <w:rFonts w:ascii="Arial" w:hAnsi="Arial" w:cs="Arial"/>
          <w:lang w:val="es-PR"/>
        </w:rPr>
        <w:t xml:space="preserve">cumple </w:t>
      </w:r>
      <w:r w:rsidRPr="000E39F4">
        <w:rPr>
          <w:rFonts w:ascii="Arial" w:hAnsi="Arial" w:cs="Arial"/>
          <w:lang w:val="es-PR"/>
        </w:rPr>
        <w:t>a cabalidad.</w:t>
      </w:r>
    </w:p>
    <w:p w:rsidR="000E39F4" w:rsidRDefault="000E39F4" w:rsidP="008E7C20">
      <w:pPr>
        <w:autoSpaceDE w:val="0"/>
        <w:autoSpaceDN w:val="0"/>
        <w:adjustRightInd w:val="0"/>
        <w:jc w:val="both"/>
        <w:rPr>
          <w:rFonts w:ascii="Arial" w:hAnsi="Arial" w:cs="Arial"/>
          <w:lang w:val="es-PR"/>
        </w:rPr>
      </w:pPr>
    </w:p>
    <w:p w:rsidR="00273F15" w:rsidRDefault="00273F15" w:rsidP="008E7C20">
      <w:pPr>
        <w:autoSpaceDE w:val="0"/>
        <w:autoSpaceDN w:val="0"/>
        <w:adjustRightInd w:val="0"/>
        <w:jc w:val="both"/>
        <w:rPr>
          <w:rFonts w:ascii="Arial" w:hAnsi="Arial" w:cs="Arial"/>
          <w:lang w:val="es-PR"/>
        </w:rPr>
      </w:pPr>
    </w:p>
    <w:p w:rsidR="000E39F4" w:rsidRPr="000E39F4" w:rsidRDefault="000E39F4" w:rsidP="008E7C20">
      <w:pPr>
        <w:autoSpaceDE w:val="0"/>
        <w:autoSpaceDN w:val="0"/>
        <w:adjustRightInd w:val="0"/>
        <w:jc w:val="both"/>
        <w:rPr>
          <w:rFonts w:ascii="Arial" w:hAnsi="Arial" w:cs="Arial"/>
          <w:lang w:val="es-P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E39F4" w:rsidRPr="000E39F4" w:rsidTr="00106262">
        <w:tc>
          <w:tcPr>
            <w:tcW w:w="4675" w:type="dxa"/>
            <w:tcBorders>
              <w:top w:val="single" w:sz="4" w:space="0" w:color="auto"/>
            </w:tcBorders>
          </w:tcPr>
          <w:p w:rsidR="000E39F4" w:rsidRPr="00106262" w:rsidRDefault="000E39F4" w:rsidP="000E39F4">
            <w:pPr>
              <w:autoSpaceDE w:val="0"/>
              <w:autoSpaceDN w:val="0"/>
              <w:adjustRightInd w:val="0"/>
              <w:jc w:val="both"/>
              <w:rPr>
                <w:rFonts w:ascii="Arial" w:hAnsi="Arial" w:cs="Arial"/>
                <w:b/>
                <w:lang w:val="es-PR"/>
              </w:rPr>
            </w:pPr>
            <w:r w:rsidRPr="00106262">
              <w:rPr>
                <w:rFonts w:ascii="Arial" w:hAnsi="Arial" w:cs="Arial"/>
                <w:b/>
                <w:lang w:val="es-PR"/>
              </w:rPr>
              <w:t>Laudelino F. Mulero Clas</w:t>
            </w:r>
          </w:p>
          <w:p w:rsidR="00106262" w:rsidRPr="000E39F4" w:rsidRDefault="00106262" w:rsidP="000E39F4">
            <w:pPr>
              <w:autoSpaceDE w:val="0"/>
              <w:autoSpaceDN w:val="0"/>
              <w:adjustRightInd w:val="0"/>
              <w:jc w:val="both"/>
              <w:rPr>
                <w:rFonts w:ascii="Arial" w:hAnsi="Arial" w:cs="Arial"/>
                <w:lang w:val="es-PR"/>
              </w:rPr>
            </w:pPr>
            <w:r>
              <w:rPr>
                <w:rFonts w:ascii="Arial" w:hAnsi="Arial" w:cs="Arial"/>
                <w:lang w:val="es-PR"/>
              </w:rPr>
              <w:t>Presidente</w:t>
            </w:r>
          </w:p>
        </w:tc>
        <w:tc>
          <w:tcPr>
            <w:tcW w:w="4675" w:type="dxa"/>
          </w:tcPr>
          <w:p w:rsidR="000E39F4" w:rsidRPr="000E39F4" w:rsidRDefault="000E39F4" w:rsidP="008E7C20">
            <w:pPr>
              <w:autoSpaceDE w:val="0"/>
              <w:autoSpaceDN w:val="0"/>
              <w:adjustRightInd w:val="0"/>
              <w:jc w:val="both"/>
              <w:rPr>
                <w:rFonts w:ascii="Arial" w:hAnsi="Arial" w:cs="Arial"/>
                <w:lang w:val="es-PR"/>
              </w:rPr>
            </w:pPr>
          </w:p>
        </w:tc>
      </w:tr>
    </w:tbl>
    <w:p w:rsidR="008E7C20" w:rsidRPr="000E39F4" w:rsidRDefault="008E7C20" w:rsidP="00106262">
      <w:pPr>
        <w:autoSpaceDE w:val="0"/>
        <w:autoSpaceDN w:val="0"/>
        <w:adjustRightInd w:val="0"/>
        <w:spacing w:after="120"/>
        <w:ind w:left="360"/>
        <w:jc w:val="both"/>
        <w:rPr>
          <w:rFonts w:ascii="Arial" w:hAnsi="Arial" w:cs="Arial"/>
          <w:lang w:val="es-PR"/>
        </w:rPr>
      </w:pPr>
    </w:p>
    <w:sectPr w:rsidR="008E7C20" w:rsidRPr="000E39F4" w:rsidSect="00273F15">
      <w:headerReference w:type="default" r:id="rId8"/>
      <w:headerReference w:type="first" r:id="rId9"/>
      <w:pgSz w:w="12240" w:h="15840"/>
      <w:pgMar w:top="1296"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51F" w:rsidRDefault="0054051F" w:rsidP="00951EE0">
      <w:r>
        <w:separator/>
      </w:r>
    </w:p>
  </w:endnote>
  <w:endnote w:type="continuationSeparator" w:id="0">
    <w:p w:rsidR="0054051F" w:rsidRDefault="0054051F" w:rsidP="0095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51F" w:rsidRDefault="0054051F" w:rsidP="00951EE0">
      <w:r>
        <w:separator/>
      </w:r>
    </w:p>
  </w:footnote>
  <w:footnote w:type="continuationSeparator" w:id="0">
    <w:p w:rsidR="0054051F" w:rsidRDefault="0054051F" w:rsidP="00951EE0">
      <w:r>
        <w:continuationSeparator/>
      </w:r>
    </w:p>
  </w:footnote>
  <w:footnote w:id="1">
    <w:p w:rsidR="000E39F4" w:rsidRPr="00106262" w:rsidRDefault="000E39F4" w:rsidP="00032768">
      <w:pPr>
        <w:pStyle w:val="FootnoteText"/>
        <w:jc w:val="both"/>
        <w:rPr>
          <w:rFonts w:ascii="Arial" w:hAnsi="Arial" w:cs="Arial"/>
          <w:lang w:val="es-PR"/>
        </w:rPr>
      </w:pPr>
      <w:r w:rsidRPr="00106262">
        <w:rPr>
          <w:rStyle w:val="FootnoteReference"/>
          <w:rFonts w:ascii="Arial" w:hAnsi="Arial" w:cs="Arial"/>
        </w:rPr>
        <w:footnoteRef/>
      </w:r>
      <w:r w:rsidRPr="00106262">
        <w:rPr>
          <w:rFonts w:ascii="Arial" w:hAnsi="Arial" w:cs="Arial"/>
          <w:lang w:val="es-PR"/>
        </w:rPr>
        <w:t xml:space="preserve"> El siguiente personal de la Comisión participó activamente en la preparación de los Informes de Transición 2016-2017: Brenda L. Figueroa Lanzó, Carlos M. Bermúdez Torres, Freddy Torres Serrano y </w:t>
      </w:r>
      <w:proofErr w:type="spellStart"/>
      <w:r w:rsidRPr="00106262">
        <w:rPr>
          <w:rFonts w:ascii="Arial" w:hAnsi="Arial" w:cs="Arial"/>
          <w:lang w:val="es-PR"/>
        </w:rPr>
        <w:t>Urayoán</w:t>
      </w:r>
      <w:proofErr w:type="spellEnd"/>
      <w:r w:rsidRPr="00106262">
        <w:rPr>
          <w:rFonts w:ascii="Arial" w:hAnsi="Arial" w:cs="Arial"/>
          <w:lang w:val="es-PR"/>
        </w:rPr>
        <w:t xml:space="preserve"> Pérez Alemán.  Se agradece a éstos y al resto del personal de la CASP su compromiso</w:t>
      </w:r>
      <w:r w:rsidR="00106262" w:rsidRPr="00106262">
        <w:rPr>
          <w:rFonts w:ascii="Arial" w:hAnsi="Arial" w:cs="Arial"/>
          <w:lang w:val="es-PR"/>
        </w:rPr>
        <w:t xml:space="preserve"> con la </w:t>
      </w:r>
      <w:r w:rsidR="00014DD7">
        <w:rPr>
          <w:rFonts w:ascii="Arial" w:hAnsi="Arial" w:cs="Arial"/>
          <w:lang w:val="es-PR"/>
        </w:rPr>
        <w:t>misión de la agencia</w:t>
      </w:r>
      <w:r w:rsidR="00106262" w:rsidRPr="00106262">
        <w:rPr>
          <w:rFonts w:ascii="Arial" w:hAnsi="Arial" w:cs="Arial"/>
          <w:lang w:val="es-PR"/>
        </w:rPr>
        <w:t>.</w:t>
      </w:r>
      <w:r w:rsidRPr="00106262">
        <w:rPr>
          <w:rFonts w:ascii="Arial" w:hAnsi="Arial" w:cs="Arial"/>
          <w:lang w:val="es-PR"/>
        </w:rPr>
        <w:t xml:space="preserve"> </w:t>
      </w:r>
    </w:p>
  </w:footnote>
  <w:footnote w:id="2">
    <w:p w:rsidR="00951EE0" w:rsidRPr="00106262" w:rsidRDefault="00951EE0" w:rsidP="00032768">
      <w:pPr>
        <w:pStyle w:val="FootnoteText"/>
        <w:jc w:val="both"/>
        <w:rPr>
          <w:rFonts w:ascii="Arial" w:hAnsi="Arial" w:cs="Arial"/>
          <w:lang w:val="es-PR"/>
        </w:rPr>
      </w:pPr>
      <w:r w:rsidRPr="00106262">
        <w:rPr>
          <w:rStyle w:val="FootnoteReference"/>
          <w:rFonts w:ascii="Arial" w:hAnsi="Arial" w:cs="Arial"/>
        </w:rPr>
        <w:footnoteRef/>
      </w:r>
      <w:r w:rsidRPr="00106262">
        <w:rPr>
          <w:rFonts w:ascii="Arial" w:hAnsi="Arial" w:cs="Arial"/>
          <w:lang w:val="es-PR"/>
        </w:rPr>
        <w:t xml:space="preserve"> Derogada por la Ley Núm. 89-2016, “Ley de Empleo Temporal en el Servicio Público”, sin embargo, hasta que el status de los empleados irregulares no sea convertido, sus disposiciones afectan a dichos empleados.</w:t>
      </w:r>
    </w:p>
  </w:footnote>
  <w:footnote w:id="3">
    <w:p w:rsidR="00951EE0" w:rsidRPr="00106262" w:rsidRDefault="00951EE0" w:rsidP="00032768">
      <w:pPr>
        <w:pStyle w:val="FootnoteText"/>
        <w:jc w:val="both"/>
        <w:rPr>
          <w:rFonts w:ascii="Arial" w:hAnsi="Arial" w:cs="Arial"/>
          <w:lang w:val="es-PR"/>
        </w:rPr>
      </w:pPr>
      <w:r w:rsidRPr="00106262">
        <w:rPr>
          <w:rStyle w:val="FootnoteReference"/>
          <w:rFonts w:ascii="Arial" w:hAnsi="Arial" w:cs="Arial"/>
        </w:rPr>
        <w:footnoteRef/>
      </w:r>
      <w:r w:rsidRPr="00106262">
        <w:rPr>
          <w:rFonts w:ascii="Arial" w:hAnsi="Arial" w:cs="Arial"/>
          <w:lang w:val="es-PR"/>
        </w:rPr>
        <w:t xml:space="preserve"> A</w:t>
      </w:r>
      <w:r w:rsidR="00AA79E3" w:rsidRPr="00106262">
        <w:rPr>
          <w:rFonts w:ascii="Arial" w:hAnsi="Arial" w:cs="Arial"/>
          <w:lang w:val="es-PR"/>
        </w:rPr>
        <w:t xml:space="preserve"> </w:t>
      </w:r>
      <w:r w:rsidRPr="00106262">
        <w:rPr>
          <w:rFonts w:ascii="Arial" w:hAnsi="Arial" w:cs="Arial"/>
          <w:lang w:val="es-PR"/>
        </w:rPr>
        <w:t>l</w:t>
      </w:r>
      <w:r w:rsidR="00AA79E3" w:rsidRPr="00106262">
        <w:rPr>
          <w:rFonts w:ascii="Arial" w:hAnsi="Arial" w:cs="Arial"/>
          <w:lang w:val="es-PR"/>
        </w:rPr>
        <w:t xml:space="preserve">a fecha de este escrito, una </w:t>
      </w:r>
      <w:r w:rsidRPr="00106262">
        <w:rPr>
          <w:rFonts w:ascii="Arial" w:hAnsi="Arial" w:cs="Arial"/>
          <w:lang w:val="es-PR"/>
        </w:rPr>
        <w:t xml:space="preserve">empleada se encuentra </w:t>
      </w:r>
      <w:r w:rsidR="00AA79E3" w:rsidRPr="00106262">
        <w:rPr>
          <w:rFonts w:ascii="Arial" w:hAnsi="Arial" w:cs="Arial"/>
          <w:lang w:val="es-PR"/>
        </w:rPr>
        <w:t>en</w:t>
      </w:r>
      <w:r w:rsidRPr="00106262">
        <w:rPr>
          <w:rFonts w:ascii="Arial" w:hAnsi="Arial" w:cs="Arial"/>
          <w:lang w:val="es-PR"/>
        </w:rPr>
        <w:t xml:space="preserve"> licencia sin sueldo y </w:t>
      </w:r>
      <w:r w:rsidR="00AA79E3" w:rsidRPr="00106262">
        <w:rPr>
          <w:rFonts w:ascii="Arial" w:hAnsi="Arial" w:cs="Arial"/>
          <w:lang w:val="es-PR"/>
        </w:rPr>
        <w:t>otra</w:t>
      </w:r>
      <w:r w:rsidRPr="00106262">
        <w:rPr>
          <w:rFonts w:ascii="Arial" w:hAnsi="Arial" w:cs="Arial"/>
          <w:lang w:val="es-PR"/>
        </w:rPr>
        <w:t xml:space="preserve"> aún no ha </w:t>
      </w:r>
      <w:r w:rsidR="00AA79E3" w:rsidRPr="00106262">
        <w:rPr>
          <w:rFonts w:ascii="Arial" w:hAnsi="Arial" w:cs="Arial"/>
          <w:lang w:val="es-PR"/>
        </w:rPr>
        <w:t xml:space="preserve">juramentado </w:t>
      </w:r>
      <w:r w:rsidRPr="00106262">
        <w:rPr>
          <w:rFonts w:ascii="Arial" w:hAnsi="Arial" w:cs="Arial"/>
          <w:lang w:val="es-PR"/>
        </w:rPr>
        <w:t xml:space="preserve">su </w:t>
      </w:r>
      <w:r w:rsidR="00AA79E3" w:rsidRPr="00106262">
        <w:rPr>
          <w:rFonts w:ascii="Arial" w:hAnsi="Arial" w:cs="Arial"/>
          <w:lang w:val="es-PR"/>
        </w:rPr>
        <w:t>cargo</w:t>
      </w:r>
      <w:r w:rsidRPr="00106262">
        <w:rPr>
          <w:rFonts w:ascii="Arial" w:hAnsi="Arial" w:cs="Arial"/>
          <w:lang w:val="es-PR"/>
        </w:rPr>
        <w:t xml:space="preserve"> de Comisionada Asociada.  </w:t>
      </w:r>
    </w:p>
  </w:footnote>
  <w:footnote w:id="4">
    <w:p w:rsidR="00032768" w:rsidRPr="00032768" w:rsidRDefault="00032768">
      <w:pPr>
        <w:pStyle w:val="FootnoteText"/>
        <w:rPr>
          <w:rFonts w:ascii="Arial" w:hAnsi="Arial" w:cs="Arial"/>
          <w:lang w:val="es-PR"/>
        </w:rPr>
      </w:pPr>
      <w:r w:rsidRPr="00032768">
        <w:rPr>
          <w:rStyle w:val="FootnoteReference"/>
          <w:rFonts w:ascii="Arial" w:hAnsi="Arial" w:cs="Arial"/>
        </w:rPr>
        <w:footnoteRef/>
      </w:r>
      <w:r w:rsidRPr="00032768">
        <w:rPr>
          <w:rFonts w:ascii="Arial" w:hAnsi="Arial" w:cs="Arial"/>
          <w:lang w:val="es-PR"/>
        </w:rPr>
        <w:t xml:space="preserve"> Incluye al Presidente quien </w:t>
      </w:r>
      <w:r>
        <w:rPr>
          <w:rFonts w:ascii="Arial" w:hAnsi="Arial" w:cs="Arial"/>
          <w:lang w:val="es-PR"/>
        </w:rPr>
        <w:t>también funge como</w:t>
      </w:r>
      <w:r w:rsidRPr="00032768">
        <w:rPr>
          <w:rFonts w:ascii="Arial" w:hAnsi="Arial" w:cs="Arial"/>
          <w:lang w:val="es-PR"/>
        </w:rPr>
        <w:t xml:space="preserve"> Comisionado</w:t>
      </w:r>
      <w:r>
        <w:rPr>
          <w:rFonts w:ascii="Arial" w:hAnsi="Arial" w:cs="Arial"/>
          <w:lang w:val="es-PR"/>
        </w:rPr>
        <w:t>.</w:t>
      </w:r>
    </w:p>
  </w:footnote>
  <w:footnote w:id="5">
    <w:p w:rsidR="008E7C20" w:rsidRPr="00106262" w:rsidRDefault="008E7C20" w:rsidP="00032768">
      <w:pPr>
        <w:pStyle w:val="FootnoteText"/>
        <w:jc w:val="both"/>
        <w:rPr>
          <w:rFonts w:ascii="Arial" w:hAnsi="Arial" w:cs="Arial"/>
          <w:lang w:val="es-PR"/>
        </w:rPr>
      </w:pPr>
      <w:r w:rsidRPr="00106262">
        <w:rPr>
          <w:rStyle w:val="FootnoteReference"/>
          <w:rFonts w:ascii="Arial" w:hAnsi="Arial" w:cs="Arial"/>
        </w:rPr>
        <w:footnoteRef/>
      </w:r>
      <w:r w:rsidRPr="00106262">
        <w:rPr>
          <w:rFonts w:ascii="Arial" w:hAnsi="Arial" w:cs="Arial"/>
          <w:lang w:val="es-PR"/>
        </w:rPr>
        <w:t xml:space="preserve"> Los datos del año fiscal corriente se reflejan hasta el </w:t>
      </w:r>
      <w:r w:rsidR="00387967" w:rsidRPr="00106262">
        <w:rPr>
          <w:rFonts w:ascii="Arial" w:hAnsi="Arial" w:cs="Arial"/>
          <w:lang w:val="es-PR"/>
        </w:rPr>
        <w:t>30</w:t>
      </w:r>
      <w:r w:rsidRPr="00106262">
        <w:rPr>
          <w:rFonts w:ascii="Arial" w:hAnsi="Arial" w:cs="Arial"/>
          <w:lang w:val="es-PR"/>
        </w:rPr>
        <w:t xml:space="preserve"> de </w:t>
      </w:r>
      <w:r w:rsidR="00387967" w:rsidRPr="00106262">
        <w:rPr>
          <w:rFonts w:ascii="Arial" w:hAnsi="Arial" w:cs="Arial"/>
          <w:lang w:val="es-PR"/>
        </w:rPr>
        <w:t>septiembre</w:t>
      </w:r>
      <w:r w:rsidRPr="00106262">
        <w:rPr>
          <w:rFonts w:ascii="Arial" w:hAnsi="Arial" w:cs="Arial"/>
          <w:lang w:val="es-PR"/>
        </w:rPr>
        <w:t xml:space="preserve"> de 2016.  Toda la información surge de las bases de datos de la CASP.  Los números reflejados tienen un margen de error de entre 3% a 5%.</w:t>
      </w:r>
    </w:p>
  </w:footnote>
  <w:footnote w:id="6">
    <w:p w:rsidR="008E7C20" w:rsidRPr="00106262" w:rsidRDefault="008E7C20" w:rsidP="00032768">
      <w:pPr>
        <w:pStyle w:val="FootnoteText"/>
        <w:jc w:val="both"/>
        <w:rPr>
          <w:rFonts w:ascii="Arial" w:hAnsi="Arial" w:cs="Arial"/>
          <w:lang w:val="es-PR"/>
        </w:rPr>
      </w:pPr>
      <w:r w:rsidRPr="00106262">
        <w:rPr>
          <w:rStyle w:val="FootnoteReference"/>
          <w:rFonts w:ascii="Arial" w:hAnsi="Arial" w:cs="Arial"/>
        </w:rPr>
        <w:footnoteRef/>
      </w:r>
      <w:r w:rsidRPr="00106262">
        <w:rPr>
          <w:rFonts w:ascii="Arial" w:hAnsi="Arial" w:cs="Arial"/>
          <w:lang w:val="es-PR"/>
        </w:rPr>
        <w:t xml:space="preserve"> Esta tabla incluye los casos de Ley Núm. 7-2009, s.e.</w:t>
      </w:r>
    </w:p>
  </w:footnote>
  <w:footnote w:id="7">
    <w:p w:rsidR="008E7C20" w:rsidRPr="00106262" w:rsidRDefault="008E7C20" w:rsidP="00032768">
      <w:pPr>
        <w:pStyle w:val="FootnoteText"/>
        <w:jc w:val="both"/>
        <w:rPr>
          <w:rFonts w:ascii="Arial" w:hAnsi="Arial" w:cs="Arial"/>
          <w:lang w:val="es-PR"/>
        </w:rPr>
      </w:pPr>
      <w:r w:rsidRPr="00106262">
        <w:rPr>
          <w:rStyle w:val="FootnoteReference"/>
          <w:rFonts w:ascii="Arial" w:hAnsi="Arial" w:cs="Arial"/>
        </w:rPr>
        <w:footnoteRef/>
      </w:r>
      <w:r w:rsidRPr="00106262">
        <w:rPr>
          <w:rFonts w:ascii="Arial" w:hAnsi="Arial" w:cs="Arial"/>
          <w:lang w:val="es-PR"/>
        </w:rPr>
        <w:t xml:space="preserve"> Esta tabla </w:t>
      </w:r>
      <w:r w:rsidRPr="00106262">
        <w:rPr>
          <w:rFonts w:ascii="Arial" w:hAnsi="Arial" w:cs="Arial"/>
          <w:b/>
          <w:lang w:val="es-PR"/>
        </w:rPr>
        <w:t>no</w:t>
      </w:r>
      <w:r w:rsidRPr="00106262">
        <w:rPr>
          <w:rFonts w:ascii="Arial" w:hAnsi="Arial" w:cs="Arial"/>
          <w:lang w:val="es-PR"/>
        </w:rPr>
        <w:t xml:space="preserve"> incluye los casos de Ley Núm. 7-2009, s.e.</w:t>
      </w:r>
    </w:p>
  </w:footnote>
  <w:footnote w:id="8">
    <w:p w:rsidR="008E7C20" w:rsidRPr="00106262" w:rsidRDefault="008E7C20" w:rsidP="00032768">
      <w:pPr>
        <w:pStyle w:val="FootnoteText"/>
        <w:jc w:val="both"/>
        <w:rPr>
          <w:rFonts w:ascii="Arial" w:hAnsi="Arial" w:cs="Arial"/>
          <w:lang w:val="es-PR"/>
        </w:rPr>
      </w:pPr>
      <w:r w:rsidRPr="00106262">
        <w:rPr>
          <w:rStyle w:val="FootnoteReference"/>
          <w:rFonts w:ascii="Arial" w:hAnsi="Arial" w:cs="Arial"/>
        </w:rPr>
        <w:footnoteRef/>
      </w:r>
      <w:r w:rsidRPr="00106262">
        <w:rPr>
          <w:rFonts w:ascii="Arial" w:hAnsi="Arial" w:cs="Arial"/>
          <w:lang w:val="es-PR"/>
        </w:rPr>
        <w:t xml:space="preserve"> Para el cálculo de este promedio </w:t>
      </w:r>
      <w:r w:rsidRPr="00106262">
        <w:rPr>
          <w:rFonts w:ascii="Arial" w:hAnsi="Arial" w:cs="Arial"/>
          <w:b/>
          <w:lang w:val="es-PR"/>
        </w:rPr>
        <w:t>no</w:t>
      </w:r>
      <w:r w:rsidRPr="00106262">
        <w:rPr>
          <w:rFonts w:ascii="Arial" w:hAnsi="Arial" w:cs="Arial"/>
          <w:lang w:val="es-PR"/>
        </w:rPr>
        <w:t xml:space="preserve"> se tomó en consideración los casos radicados por razón de impugnaciones de antigüedad y cesantías por motivo de la implantación de la Ley Núm. 7-2009.  El total de casos presentados ante la CRTSP/CASARH/CASP por razón de impugnaciones de antigüedad y cesantías por motivo de la implantación de la Ley Núm. 7-2009 fue 29,188.</w:t>
      </w:r>
    </w:p>
  </w:footnote>
  <w:footnote w:id="9">
    <w:p w:rsidR="008E7C20" w:rsidRPr="00106262" w:rsidRDefault="008E7C20" w:rsidP="00032768">
      <w:pPr>
        <w:pStyle w:val="FootnoteText"/>
        <w:jc w:val="both"/>
        <w:rPr>
          <w:rFonts w:ascii="Arial" w:hAnsi="Arial" w:cs="Arial"/>
          <w:lang w:val="es-PR"/>
        </w:rPr>
      </w:pPr>
      <w:r w:rsidRPr="00106262">
        <w:rPr>
          <w:rStyle w:val="FootnoteReference"/>
          <w:rFonts w:ascii="Arial" w:hAnsi="Arial" w:cs="Arial"/>
        </w:rPr>
        <w:footnoteRef/>
      </w:r>
      <w:r w:rsidRPr="00106262">
        <w:rPr>
          <w:rFonts w:ascii="Arial" w:hAnsi="Arial" w:cs="Arial"/>
          <w:lang w:val="es-PR"/>
        </w:rPr>
        <w:t xml:space="preserve">  Para el cálculo de este promedio </w:t>
      </w:r>
      <w:r w:rsidRPr="00273F15">
        <w:rPr>
          <w:rFonts w:ascii="Arial" w:hAnsi="Arial" w:cs="Arial"/>
          <w:b/>
          <w:lang w:val="es-PR"/>
        </w:rPr>
        <w:t>no</w:t>
      </w:r>
      <w:r w:rsidRPr="00106262">
        <w:rPr>
          <w:rFonts w:ascii="Arial" w:hAnsi="Arial" w:cs="Arial"/>
          <w:lang w:val="es-PR"/>
        </w:rPr>
        <w:t xml:space="preserve"> se tomó en consideración los casos resueltos por razón de impugnaciones de antigüedad y cesantías por motivo de la implantación de la Ley Núm. 7-2009.  El total de casos resueltos </w:t>
      </w:r>
      <w:r w:rsidR="00422247" w:rsidRPr="00106262">
        <w:rPr>
          <w:rFonts w:ascii="Arial" w:hAnsi="Arial" w:cs="Arial"/>
          <w:lang w:val="es-PR"/>
        </w:rPr>
        <w:t xml:space="preserve">durante el pasado cuatrienio tomando en consideración dichos casos es de 35,333 y 17,519 durante el actual lo cual representa una baja de aproximadamente 50%.  El total de casos presentados ante la </w:t>
      </w:r>
      <w:r w:rsidRPr="00106262">
        <w:rPr>
          <w:rFonts w:ascii="Arial" w:hAnsi="Arial" w:cs="Arial"/>
          <w:lang w:val="es-PR"/>
        </w:rPr>
        <w:t xml:space="preserve">CRTSP/CASARH/CASP hasta el 30 de </w:t>
      </w:r>
      <w:r w:rsidR="00422247" w:rsidRPr="00106262">
        <w:rPr>
          <w:rFonts w:ascii="Arial" w:hAnsi="Arial" w:cs="Arial"/>
          <w:lang w:val="es-PR"/>
        </w:rPr>
        <w:t xml:space="preserve">septiembre de </w:t>
      </w:r>
      <w:r w:rsidRPr="00106262">
        <w:rPr>
          <w:rFonts w:ascii="Arial" w:hAnsi="Arial" w:cs="Arial"/>
          <w:lang w:val="es-PR"/>
        </w:rPr>
        <w:t>201</w:t>
      </w:r>
      <w:r w:rsidR="00422247" w:rsidRPr="00106262">
        <w:rPr>
          <w:rFonts w:ascii="Arial" w:hAnsi="Arial" w:cs="Arial"/>
          <w:lang w:val="es-PR"/>
        </w:rPr>
        <w:t>6</w:t>
      </w:r>
      <w:r w:rsidRPr="00106262">
        <w:rPr>
          <w:rFonts w:ascii="Arial" w:hAnsi="Arial" w:cs="Arial"/>
          <w:lang w:val="es-PR"/>
        </w:rPr>
        <w:t xml:space="preserve"> de impugnaciones de antigüedad y cesantías por motivo de la implantación de la Ley Núm. 7-2009 es 29,1</w:t>
      </w:r>
      <w:r w:rsidR="00422247" w:rsidRPr="00106262">
        <w:rPr>
          <w:rFonts w:ascii="Arial" w:hAnsi="Arial" w:cs="Arial"/>
          <w:lang w:val="es-PR"/>
        </w:rPr>
        <w:t>88</w:t>
      </w:r>
      <w:r w:rsidRPr="00106262">
        <w:rPr>
          <w:rFonts w:ascii="Arial" w:hAnsi="Arial" w:cs="Arial"/>
          <w:lang w:val="es-PR"/>
        </w:rPr>
        <w:t>.</w:t>
      </w:r>
      <w:r w:rsidR="00422247" w:rsidRPr="00106262">
        <w:rPr>
          <w:rFonts w:ascii="Arial" w:hAnsi="Arial" w:cs="Arial"/>
          <w:lang w:val="es-PR"/>
        </w:rPr>
        <w:t xml:space="preserve">  No obstante durante el pasado cuatrienio, la CASP contó con personal adicional contratado específicamente para atender los casos de Ley Núm. 7-2009, el cual cesó en funciones durante el primer semestre del año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EE0" w:rsidRPr="00014DD7" w:rsidRDefault="00951EE0" w:rsidP="00951EE0">
    <w:pPr>
      <w:pStyle w:val="Header"/>
      <w:rPr>
        <w:rFonts w:ascii="Arial" w:hAnsi="Arial" w:cs="Arial"/>
        <w:sz w:val="16"/>
        <w:szCs w:val="16"/>
        <w:lang w:val="es-PR"/>
      </w:rPr>
    </w:pPr>
    <w:r w:rsidRPr="00014DD7">
      <w:rPr>
        <w:rFonts w:ascii="Arial" w:hAnsi="Arial" w:cs="Arial"/>
        <w:noProof/>
        <w:sz w:val="16"/>
        <w:szCs w:val="16"/>
        <w:lang w:val="es-PR" w:eastAsia="es-PR"/>
      </w:rPr>
      <w:drawing>
        <wp:anchor distT="0" distB="0" distL="114300" distR="114300" simplePos="0" relativeHeight="251661312" behindDoc="1" locked="0" layoutInCell="1" allowOverlap="1">
          <wp:simplePos x="0" y="0"/>
          <wp:positionH relativeFrom="column">
            <wp:posOffset>4794885</wp:posOffset>
          </wp:positionH>
          <wp:positionV relativeFrom="paragraph">
            <wp:posOffset>-114300</wp:posOffset>
          </wp:positionV>
          <wp:extent cx="691515" cy="691515"/>
          <wp:effectExtent l="0" t="0" r="0" b="0"/>
          <wp:wrapNone/>
          <wp:docPr id="2" name="Picture 2" descr="Logo-Comision-CASP-Fla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mision-CASP-Flat-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4DD7">
      <w:rPr>
        <w:rFonts w:ascii="Arial" w:hAnsi="Arial" w:cs="Arial"/>
        <w:sz w:val="16"/>
        <w:szCs w:val="16"/>
        <w:lang w:val="es-PR"/>
      </w:rPr>
      <w:t>Transición 2016-2017</w:t>
    </w:r>
  </w:p>
  <w:p w:rsidR="00951EE0" w:rsidRPr="00014DD7" w:rsidRDefault="00951EE0" w:rsidP="00951EE0">
    <w:pPr>
      <w:pStyle w:val="Header"/>
      <w:rPr>
        <w:rStyle w:val="PageNumber"/>
        <w:rFonts w:ascii="Arial" w:hAnsi="Arial" w:cs="Arial"/>
        <w:sz w:val="16"/>
        <w:szCs w:val="16"/>
        <w:lang w:val="es-PR"/>
      </w:rPr>
    </w:pPr>
    <w:r w:rsidRPr="00014DD7">
      <w:rPr>
        <w:rFonts w:ascii="Arial" w:hAnsi="Arial" w:cs="Arial"/>
        <w:sz w:val="16"/>
        <w:szCs w:val="16"/>
        <w:lang w:val="es-PR"/>
      </w:rPr>
      <w:t xml:space="preserve">Página </w:t>
    </w:r>
    <w:r w:rsidRPr="00014DD7">
      <w:rPr>
        <w:rStyle w:val="PageNumber"/>
        <w:rFonts w:ascii="Arial" w:hAnsi="Arial" w:cs="Arial"/>
        <w:sz w:val="16"/>
        <w:szCs w:val="16"/>
      </w:rPr>
      <w:fldChar w:fldCharType="begin"/>
    </w:r>
    <w:r w:rsidRPr="00014DD7">
      <w:rPr>
        <w:rStyle w:val="PageNumber"/>
        <w:rFonts w:ascii="Arial" w:hAnsi="Arial" w:cs="Arial"/>
        <w:sz w:val="16"/>
        <w:szCs w:val="16"/>
        <w:lang w:val="es-PR"/>
      </w:rPr>
      <w:instrText xml:space="preserve"> PAGE </w:instrText>
    </w:r>
    <w:r w:rsidRPr="00014DD7">
      <w:rPr>
        <w:rStyle w:val="PageNumber"/>
        <w:rFonts w:ascii="Arial" w:hAnsi="Arial" w:cs="Arial"/>
        <w:sz w:val="16"/>
        <w:szCs w:val="16"/>
      </w:rPr>
      <w:fldChar w:fldCharType="separate"/>
    </w:r>
    <w:r w:rsidR="004118F3">
      <w:rPr>
        <w:rStyle w:val="PageNumber"/>
        <w:rFonts w:ascii="Arial" w:hAnsi="Arial" w:cs="Arial"/>
        <w:noProof/>
        <w:sz w:val="16"/>
        <w:szCs w:val="16"/>
        <w:lang w:val="es-PR"/>
      </w:rPr>
      <w:t>5</w:t>
    </w:r>
    <w:r w:rsidRPr="00014DD7">
      <w:rPr>
        <w:rStyle w:val="PageNumber"/>
        <w:rFonts w:ascii="Arial" w:hAnsi="Arial" w:cs="Arial"/>
        <w:sz w:val="16"/>
        <w:szCs w:val="16"/>
      </w:rPr>
      <w:fldChar w:fldCharType="end"/>
    </w:r>
    <w:r w:rsidRPr="00014DD7">
      <w:rPr>
        <w:rStyle w:val="PageNumber"/>
        <w:rFonts w:ascii="Arial" w:hAnsi="Arial" w:cs="Arial"/>
        <w:sz w:val="16"/>
        <w:szCs w:val="16"/>
        <w:lang w:val="es-PR"/>
      </w:rPr>
      <w:t xml:space="preserve"> de </w:t>
    </w:r>
    <w:r w:rsidRPr="00014DD7">
      <w:rPr>
        <w:rStyle w:val="PageNumber"/>
        <w:rFonts w:ascii="Arial" w:hAnsi="Arial" w:cs="Arial"/>
        <w:sz w:val="16"/>
        <w:szCs w:val="16"/>
      </w:rPr>
      <w:fldChar w:fldCharType="begin"/>
    </w:r>
    <w:r w:rsidRPr="00014DD7">
      <w:rPr>
        <w:rStyle w:val="PageNumber"/>
        <w:rFonts w:ascii="Arial" w:hAnsi="Arial" w:cs="Arial"/>
        <w:sz w:val="16"/>
        <w:szCs w:val="16"/>
        <w:lang w:val="es-PR"/>
      </w:rPr>
      <w:instrText xml:space="preserve"> NUMPAGES </w:instrText>
    </w:r>
    <w:r w:rsidRPr="00014DD7">
      <w:rPr>
        <w:rStyle w:val="PageNumber"/>
        <w:rFonts w:ascii="Arial" w:hAnsi="Arial" w:cs="Arial"/>
        <w:sz w:val="16"/>
        <w:szCs w:val="16"/>
      </w:rPr>
      <w:fldChar w:fldCharType="separate"/>
    </w:r>
    <w:r w:rsidR="004118F3">
      <w:rPr>
        <w:rStyle w:val="PageNumber"/>
        <w:rFonts w:ascii="Arial" w:hAnsi="Arial" w:cs="Arial"/>
        <w:noProof/>
        <w:sz w:val="16"/>
        <w:szCs w:val="16"/>
        <w:lang w:val="es-PR"/>
      </w:rPr>
      <w:t>5</w:t>
    </w:r>
    <w:r w:rsidRPr="00014DD7">
      <w:rPr>
        <w:rStyle w:val="PageNumber"/>
        <w:rFonts w:ascii="Arial" w:hAnsi="Arial" w:cs="Arial"/>
        <w:sz w:val="16"/>
        <w:szCs w:val="16"/>
      </w:rPr>
      <w:fldChar w:fldCharType="end"/>
    </w:r>
  </w:p>
  <w:p w:rsidR="00951EE0" w:rsidRPr="00014DD7" w:rsidRDefault="00951EE0" w:rsidP="00951EE0">
    <w:pPr>
      <w:pStyle w:val="Header"/>
      <w:rPr>
        <w:rFonts w:ascii="Arial" w:hAnsi="Arial" w:cs="Arial"/>
        <w:sz w:val="16"/>
        <w:szCs w:val="16"/>
        <w:lang w:val="es-PR"/>
      </w:rPr>
    </w:pPr>
    <w:r w:rsidRPr="00014DD7">
      <w:rPr>
        <w:rFonts w:ascii="Arial" w:hAnsi="Arial" w:cs="Arial"/>
        <w:sz w:val="16"/>
        <w:szCs w:val="16"/>
        <w:lang w:val="es-PR"/>
      </w:rPr>
      <w:t>14 de octubre de 2016</w:t>
    </w:r>
  </w:p>
  <w:p w:rsidR="00951EE0" w:rsidRPr="00014DD7" w:rsidRDefault="00951EE0" w:rsidP="00951EE0">
    <w:pPr>
      <w:pStyle w:val="Header"/>
      <w:rPr>
        <w:rFonts w:ascii="Arial" w:hAnsi="Arial" w:cs="Arial"/>
        <w:sz w:val="16"/>
        <w:szCs w:val="16"/>
        <w:lang w:val="es-PR"/>
      </w:rPr>
    </w:pPr>
  </w:p>
  <w:p w:rsidR="00951EE0" w:rsidRPr="00014DD7" w:rsidRDefault="00951EE0" w:rsidP="00951EE0">
    <w:pPr>
      <w:pStyle w:val="Header"/>
      <w:rPr>
        <w:rFonts w:ascii="Arial" w:hAnsi="Arial" w:cs="Arial"/>
        <w:sz w:val="16"/>
        <w:szCs w:val="16"/>
        <w:lang w:val="es-PR"/>
      </w:rPr>
    </w:pPr>
  </w:p>
  <w:p w:rsidR="00951EE0" w:rsidRPr="00014DD7" w:rsidRDefault="00951EE0">
    <w:pPr>
      <w:pStyle w:val="Header"/>
      <w:rPr>
        <w:rFonts w:ascii="Arial" w:hAnsi="Arial" w:cs="Arial"/>
        <w:lang w:val="es-P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00" w:type="dxa"/>
      <w:jc w:val="center"/>
      <w:tblLook w:val="01E0" w:firstRow="1" w:lastRow="1" w:firstColumn="1" w:lastColumn="1" w:noHBand="0" w:noVBand="0"/>
    </w:tblPr>
    <w:tblGrid>
      <w:gridCol w:w="2355"/>
      <w:gridCol w:w="6745"/>
    </w:tblGrid>
    <w:tr w:rsidR="00951EE0" w:rsidRPr="00BB7F56" w:rsidTr="00E606AD">
      <w:trPr>
        <w:jc w:val="center"/>
      </w:trPr>
      <w:tc>
        <w:tcPr>
          <w:tcW w:w="2355" w:type="dxa"/>
          <w:shd w:val="clear" w:color="auto" w:fill="auto"/>
        </w:tcPr>
        <w:p w:rsidR="00951EE0" w:rsidRDefault="00951EE0" w:rsidP="00951EE0">
          <w:r>
            <w:rPr>
              <w:noProof/>
              <w:lang w:val="es-PR" w:eastAsia="es-PR"/>
            </w:rPr>
            <w:drawing>
              <wp:anchor distT="0" distB="0" distL="114300" distR="114300" simplePos="0" relativeHeight="251663360" behindDoc="1" locked="0" layoutInCell="1" allowOverlap="1">
                <wp:simplePos x="0" y="0"/>
                <wp:positionH relativeFrom="column">
                  <wp:posOffset>120015</wp:posOffset>
                </wp:positionH>
                <wp:positionV relativeFrom="paragraph">
                  <wp:posOffset>0</wp:posOffset>
                </wp:positionV>
                <wp:extent cx="1028700" cy="1028700"/>
                <wp:effectExtent l="0" t="0" r="0" b="0"/>
                <wp:wrapNone/>
                <wp:docPr id="3" name="Picture 3" descr="Logo-Comision-CASP-Fla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omision-CASP-Flat-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tc>
      <w:tc>
        <w:tcPr>
          <w:tcW w:w="6745" w:type="dxa"/>
          <w:shd w:val="clear" w:color="auto" w:fill="auto"/>
        </w:tcPr>
        <w:p w:rsidR="00951EE0" w:rsidRPr="00BB7F56" w:rsidRDefault="00951EE0" w:rsidP="00951EE0">
          <w:pPr>
            <w:rPr>
              <w:rFonts w:ascii="Constantia" w:hAnsi="Constantia"/>
              <w:sz w:val="16"/>
              <w:szCs w:val="16"/>
              <w:lang w:val="es-PR"/>
            </w:rPr>
          </w:pPr>
        </w:p>
        <w:p w:rsidR="00951EE0" w:rsidRPr="00BB7F56" w:rsidRDefault="00951EE0" w:rsidP="00951EE0">
          <w:pPr>
            <w:rPr>
              <w:rFonts w:ascii="Constantia" w:hAnsi="Constantia"/>
              <w:sz w:val="28"/>
              <w:szCs w:val="28"/>
              <w:lang w:val="es-PR"/>
            </w:rPr>
          </w:pPr>
          <w:r w:rsidRPr="00BB7F56">
            <w:rPr>
              <w:rFonts w:ascii="Constantia" w:hAnsi="Constantia"/>
              <w:sz w:val="28"/>
              <w:szCs w:val="28"/>
              <w:lang w:val="es-PR"/>
            </w:rPr>
            <w:t>Estado Libre Asociado de Puerto Rico</w:t>
          </w:r>
        </w:p>
        <w:p w:rsidR="00951EE0" w:rsidRPr="00BB7F56" w:rsidRDefault="00951EE0" w:rsidP="00951EE0">
          <w:pPr>
            <w:rPr>
              <w:rFonts w:ascii="Constantia" w:hAnsi="Constantia"/>
              <w:b/>
              <w:sz w:val="28"/>
              <w:szCs w:val="28"/>
              <w:lang w:val="es-PR"/>
            </w:rPr>
          </w:pPr>
          <w:r w:rsidRPr="00BB7F56">
            <w:rPr>
              <w:rFonts w:ascii="Constantia" w:hAnsi="Constantia"/>
              <w:b/>
              <w:sz w:val="28"/>
              <w:szCs w:val="28"/>
              <w:lang w:val="es-PR"/>
            </w:rPr>
            <w:t>Comisión Apelativa del Servicio Público</w:t>
          </w:r>
        </w:p>
        <w:p w:rsidR="00951EE0" w:rsidRPr="00BB7F56" w:rsidRDefault="00951EE0" w:rsidP="00951EE0">
          <w:pPr>
            <w:rPr>
              <w:rFonts w:ascii="Constantia" w:hAnsi="Constantia"/>
              <w:b/>
              <w:i/>
              <w:sz w:val="20"/>
              <w:szCs w:val="20"/>
              <w:lang w:val="es-PR"/>
            </w:rPr>
          </w:pPr>
        </w:p>
        <w:p w:rsidR="00951EE0" w:rsidRPr="00BB7F56" w:rsidRDefault="00951EE0" w:rsidP="00951EE0">
          <w:pPr>
            <w:rPr>
              <w:rFonts w:ascii="Constantia" w:hAnsi="Constantia"/>
              <w:i/>
              <w:sz w:val="20"/>
              <w:szCs w:val="20"/>
              <w:lang w:val="es-PR"/>
            </w:rPr>
          </w:pPr>
          <w:r w:rsidRPr="00BB7F56">
            <w:rPr>
              <w:rFonts w:ascii="Constantia" w:hAnsi="Constantia"/>
              <w:i/>
              <w:sz w:val="20"/>
              <w:szCs w:val="20"/>
              <w:lang w:val="es-PR"/>
            </w:rPr>
            <w:t>La justicia es la constante y perpetua voluntad de dar a cada uno su derecho</w:t>
          </w:r>
        </w:p>
        <w:p w:rsidR="00951EE0" w:rsidRPr="00BB7F56" w:rsidRDefault="00951EE0" w:rsidP="00951EE0">
          <w:pPr>
            <w:rPr>
              <w:rFonts w:ascii="Constantia" w:hAnsi="Constantia" w:cs="Arial"/>
              <w:sz w:val="22"/>
              <w:szCs w:val="22"/>
            </w:rPr>
          </w:pPr>
          <w:r w:rsidRPr="00BB7F56">
            <w:rPr>
              <w:rFonts w:ascii="Constantia" w:hAnsi="Constantia"/>
              <w:i/>
              <w:sz w:val="20"/>
              <w:szCs w:val="20"/>
            </w:rPr>
            <w:t>-Ulpiano</w:t>
          </w:r>
          <w:r w:rsidRPr="00BB7F56">
            <w:rPr>
              <w:rFonts w:ascii="Constantia" w:hAnsi="Constantia" w:cs="Arial"/>
              <w:sz w:val="22"/>
              <w:szCs w:val="22"/>
            </w:rPr>
            <w:t xml:space="preserve"> </w:t>
          </w:r>
        </w:p>
      </w:tc>
    </w:tr>
  </w:tbl>
  <w:p w:rsidR="00951EE0" w:rsidRDefault="00951EE0" w:rsidP="000E39F4">
    <w:pPr>
      <w:pStyle w:val="Header"/>
      <w:jc w:val="center"/>
      <w:rPr>
        <w:rFonts w:ascii="Garamond" w:hAnsi="Garamond"/>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4341A"/>
    <w:multiLevelType w:val="hybridMultilevel"/>
    <w:tmpl w:val="2E1C2E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1615B54"/>
    <w:multiLevelType w:val="hybridMultilevel"/>
    <w:tmpl w:val="A33E2888"/>
    <w:lvl w:ilvl="0" w:tplc="46B2B256">
      <w:start w:val="1"/>
      <w:numFmt w:val="bullet"/>
      <w:lvlText w:val=""/>
      <w:lvlJc w:val="left"/>
      <w:pPr>
        <w:tabs>
          <w:tab w:val="num" w:pos="360"/>
        </w:tabs>
        <w:ind w:left="360" w:hanging="360"/>
      </w:pPr>
      <w:rPr>
        <w:rFonts w:ascii="Symbol" w:hAnsi="Symbol" w:hint="default"/>
        <w:lang w:val="es-PR"/>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6D"/>
    <w:rsid w:val="00014DD7"/>
    <w:rsid w:val="00032768"/>
    <w:rsid w:val="000E39F4"/>
    <w:rsid w:val="000E736E"/>
    <w:rsid w:val="000F5FAC"/>
    <w:rsid w:val="000F6FCF"/>
    <w:rsid w:val="00106262"/>
    <w:rsid w:val="001D46CE"/>
    <w:rsid w:val="00273F15"/>
    <w:rsid w:val="00317669"/>
    <w:rsid w:val="00387967"/>
    <w:rsid w:val="003D416D"/>
    <w:rsid w:val="003F04F6"/>
    <w:rsid w:val="004118F3"/>
    <w:rsid w:val="00422247"/>
    <w:rsid w:val="0054051F"/>
    <w:rsid w:val="00566FC4"/>
    <w:rsid w:val="0062321D"/>
    <w:rsid w:val="00652910"/>
    <w:rsid w:val="00656CC2"/>
    <w:rsid w:val="00720E6B"/>
    <w:rsid w:val="007633DB"/>
    <w:rsid w:val="007802E0"/>
    <w:rsid w:val="00801A19"/>
    <w:rsid w:val="008237E0"/>
    <w:rsid w:val="008E7C20"/>
    <w:rsid w:val="00951EE0"/>
    <w:rsid w:val="00994F1F"/>
    <w:rsid w:val="009F451B"/>
    <w:rsid w:val="00A40798"/>
    <w:rsid w:val="00AA79E3"/>
    <w:rsid w:val="00B54366"/>
    <w:rsid w:val="00B74EDA"/>
    <w:rsid w:val="00C91DC0"/>
    <w:rsid w:val="00CA6B7A"/>
    <w:rsid w:val="00E36814"/>
    <w:rsid w:val="00EB5F0A"/>
    <w:rsid w:val="00ED4492"/>
    <w:rsid w:val="00F5150A"/>
    <w:rsid w:val="00F52265"/>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258960-DA97-44C0-9FEA-CCA67276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EE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51EE0"/>
    <w:pPr>
      <w:tabs>
        <w:tab w:val="center" w:pos="4680"/>
        <w:tab w:val="right" w:pos="9360"/>
      </w:tabs>
    </w:pPr>
  </w:style>
  <w:style w:type="character" w:customStyle="1" w:styleId="HeaderChar">
    <w:name w:val="Header Char"/>
    <w:basedOn w:val="DefaultParagraphFont"/>
    <w:link w:val="Header"/>
    <w:uiPriority w:val="99"/>
    <w:rsid w:val="00951EE0"/>
  </w:style>
  <w:style w:type="paragraph" w:styleId="Footer">
    <w:name w:val="footer"/>
    <w:basedOn w:val="Normal"/>
    <w:link w:val="FooterChar"/>
    <w:uiPriority w:val="99"/>
    <w:unhideWhenUsed/>
    <w:rsid w:val="00951EE0"/>
    <w:pPr>
      <w:tabs>
        <w:tab w:val="center" w:pos="4680"/>
        <w:tab w:val="right" w:pos="9360"/>
      </w:tabs>
    </w:pPr>
  </w:style>
  <w:style w:type="character" w:customStyle="1" w:styleId="FooterChar">
    <w:name w:val="Footer Char"/>
    <w:basedOn w:val="DefaultParagraphFont"/>
    <w:link w:val="Footer"/>
    <w:uiPriority w:val="99"/>
    <w:rsid w:val="00951EE0"/>
  </w:style>
  <w:style w:type="character" w:styleId="PageNumber">
    <w:name w:val="page number"/>
    <w:basedOn w:val="DefaultParagraphFont"/>
    <w:rsid w:val="00951EE0"/>
  </w:style>
  <w:style w:type="character" w:customStyle="1" w:styleId="contenido1">
    <w:name w:val="contenido1"/>
    <w:rsid w:val="00951EE0"/>
    <w:rPr>
      <w:rFonts w:ascii="Verdana" w:hAnsi="Verdana" w:hint="default"/>
      <w:b w:val="0"/>
      <w:bCs w:val="0"/>
      <w:color w:val="000000"/>
      <w:spacing w:val="0"/>
      <w:sz w:val="18"/>
      <w:szCs w:val="18"/>
    </w:rPr>
  </w:style>
  <w:style w:type="paragraph" w:styleId="FootnoteText">
    <w:name w:val="footnote text"/>
    <w:basedOn w:val="Normal"/>
    <w:link w:val="FootnoteTextChar"/>
    <w:semiHidden/>
    <w:rsid w:val="00951EE0"/>
    <w:rPr>
      <w:sz w:val="20"/>
      <w:szCs w:val="20"/>
    </w:rPr>
  </w:style>
  <w:style w:type="character" w:customStyle="1" w:styleId="FootnoteTextChar">
    <w:name w:val="Footnote Text Char"/>
    <w:basedOn w:val="DefaultParagraphFont"/>
    <w:link w:val="FootnoteText"/>
    <w:semiHidden/>
    <w:rsid w:val="00951EE0"/>
    <w:rPr>
      <w:rFonts w:ascii="Times New Roman" w:eastAsia="Times New Roman" w:hAnsi="Times New Roman" w:cs="Times New Roman"/>
      <w:sz w:val="20"/>
      <w:szCs w:val="20"/>
      <w:lang w:val="en-US"/>
    </w:rPr>
  </w:style>
  <w:style w:type="character" w:styleId="FootnoteReference">
    <w:name w:val="footnote reference"/>
    <w:semiHidden/>
    <w:rsid w:val="00951EE0"/>
    <w:rPr>
      <w:vertAlign w:val="superscript"/>
    </w:rPr>
  </w:style>
  <w:style w:type="table" w:styleId="TableGrid">
    <w:name w:val="Table Grid"/>
    <w:basedOn w:val="TableNormal"/>
    <w:uiPriority w:val="39"/>
    <w:rsid w:val="0065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7C20"/>
    <w:pPr>
      <w:ind w:left="720"/>
      <w:contextualSpacing/>
    </w:pPr>
  </w:style>
  <w:style w:type="paragraph" w:styleId="BalloonText">
    <w:name w:val="Balloon Text"/>
    <w:basedOn w:val="Normal"/>
    <w:link w:val="BalloonTextChar"/>
    <w:uiPriority w:val="99"/>
    <w:semiHidden/>
    <w:unhideWhenUsed/>
    <w:rsid w:val="00994F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F1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BDE493D11527B48BAC903D5425C9A8B" ma:contentTypeVersion="0" ma:contentTypeDescription="Create a new document." ma:contentTypeScope="" ma:versionID="98a807160280d3330ed69ef743918e72">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F80DDB-7E8D-40D8-9999-58F4F27ACFB9}"/>
</file>

<file path=customXml/itemProps2.xml><?xml version="1.0" encoding="utf-8"?>
<ds:datastoreItem xmlns:ds="http://schemas.openxmlformats.org/officeDocument/2006/customXml" ds:itemID="{BE4D6AE8-51B9-4234-A050-79CB38C66EDC}"/>
</file>

<file path=customXml/itemProps3.xml><?xml version="1.0" encoding="utf-8"?>
<ds:datastoreItem xmlns:ds="http://schemas.openxmlformats.org/officeDocument/2006/customXml" ds:itemID="{06DC0BDC-5429-4EFD-90EC-6D12C655B083}"/>
</file>

<file path=customXml/itemProps4.xml><?xml version="1.0" encoding="utf-8"?>
<ds:datastoreItem xmlns:ds="http://schemas.openxmlformats.org/officeDocument/2006/customXml" ds:itemID="{2375BDCD-4798-4B12-A440-FAEDED4F0A0A}"/>
</file>

<file path=docProps/app.xml><?xml version="1.0" encoding="utf-8"?>
<Properties xmlns="http://schemas.openxmlformats.org/officeDocument/2006/extended-properties" xmlns:vt="http://schemas.openxmlformats.org/officeDocument/2006/docPropsVTypes">
  <Template>Normal.dotm</Template>
  <TotalTime>456</TotalTime>
  <Pages>5</Pages>
  <Words>1802</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Laudelino F. Mulero Clas</dc:creator>
  <cp:keywords/>
  <dc:description/>
  <cp:lastModifiedBy>Laudelino F. Mulero Clas</cp:lastModifiedBy>
  <cp:revision>16</cp:revision>
  <cp:lastPrinted>2016-10-14T18:20:00Z</cp:lastPrinted>
  <dcterms:created xsi:type="dcterms:W3CDTF">2016-10-13T14:50:00Z</dcterms:created>
  <dcterms:modified xsi:type="dcterms:W3CDTF">2016-10-14T19:10:00Z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0x010100ABDE493D11527B48BAC903D5425C9A8B</vt:lpwstr>
  </property>
</Properties>
</file>