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AD7" w:rsidRPr="004A00DE" w:rsidRDefault="00E860A0">
      <w:r w:rsidRPr="004A00DE">
        <w:rPr>
          <w:noProof/>
          <w:lang w:eastAsia="es-PR"/>
        </w:rPr>
        <w:drawing>
          <wp:anchor distT="0" distB="0" distL="114300" distR="114300" simplePos="0" relativeHeight="251671552" behindDoc="0" locked="0" layoutInCell="1" allowOverlap="1" wp14:anchorId="73CD3808" wp14:editId="22EB8FFB">
            <wp:simplePos x="0" y="0"/>
            <wp:positionH relativeFrom="margin">
              <wp:posOffset>4651375</wp:posOffset>
            </wp:positionH>
            <wp:positionV relativeFrom="margin">
              <wp:posOffset>-41910</wp:posOffset>
            </wp:positionV>
            <wp:extent cx="1633220" cy="673100"/>
            <wp:effectExtent l="0" t="0" r="5080" b="0"/>
            <wp:wrapSquare wrapText="bothSides"/>
            <wp:docPr id="9" name="Picture 2" descr="http://www.aae.gobierno.pr/images/logo-aae-largo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www.aae.gobierno.pr/images/logo-aae-largo_50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3220" cy="673100"/>
                    </a:xfrm>
                    <a:prstGeom prst="rect">
                      <a:avLst/>
                    </a:prstGeom>
                    <a:noFill/>
                    <a:extLst/>
                  </pic:spPr>
                </pic:pic>
              </a:graphicData>
            </a:graphic>
          </wp:anchor>
        </w:drawing>
      </w:r>
      <w:r w:rsidR="00004AD7" w:rsidRPr="004A00DE">
        <w:rPr>
          <w:noProof/>
          <w:lang w:eastAsia="es-PR"/>
        </w:rPr>
        <w:drawing>
          <wp:anchor distT="0" distB="0" distL="114300" distR="114300" simplePos="0" relativeHeight="251658240" behindDoc="0" locked="0" layoutInCell="1" allowOverlap="1" wp14:anchorId="7C68286B" wp14:editId="42E38310">
            <wp:simplePos x="0" y="0"/>
            <wp:positionH relativeFrom="margin">
              <wp:align>left</wp:align>
            </wp:positionH>
            <wp:positionV relativeFrom="margin">
              <wp:align>top</wp:align>
            </wp:positionV>
            <wp:extent cx="2343150" cy="809625"/>
            <wp:effectExtent l="0" t="0" r="0" b="9525"/>
            <wp:wrapSquare wrapText="bothSides"/>
            <wp:docPr id="1" name="Picture 1" descr="escudo"/>
            <wp:cNvGraphicFramePr/>
            <a:graphic xmlns:a="http://schemas.openxmlformats.org/drawingml/2006/main">
              <a:graphicData uri="http://schemas.openxmlformats.org/drawingml/2006/picture">
                <pic:pic xmlns:pic="http://schemas.openxmlformats.org/drawingml/2006/picture">
                  <pic:nvPicPr>
                    <pic:cNvPr id="1" name="Picture 1" descr="escudo"/>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315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AD7" w:rsidRPr="004A00DE" w:rsidRDefault="00004AD7"/>
    <w:p w:rsidR="00004AD7" w:rsidRPr="004A00DE" w:rsidRDefault="000D2D66">
      <w:r w:rsidRPr="004A00DE">
        <w:br w:type="textWrapping" w:clear="all"/>
      </w:r>
    </w:p>
    <w:p w:rsidR="00117B87" w:rsidRPr="004A00DE" w:rsidRDefault="005F0C11" w:rsidP="00004AD7">
      <w:pPr>
        <w:spacing w:after="0" w:line="240" w:lineRule="auto"/>
        <w:jc w:val="center"/>
        <w:rPr>
          <w:b/>
          <w:sz w:val="28"/>
        </w:rPr>
      </w:pPr>
      <w:r>
        <w:rPr>
          <w:b/>
          <w:sz w:val="28"/>
        </w:rPr>
        <w:t xml:space="preserve">PONENCIA SOBRE </w:t>
      </w:r>
      <w:r w:rsidR="00004AD7" w:rsidRPr="004A00DE">
        <w:rPr>
          <w:b/>
          <w:sz w:val="28"/>
        </w:rPr>
        <w:t>INFORME DE</w:t>
      </w:r>
      <w:r w:rsidR="008F7937">
        <w:rPr>
          <w:b/>
          <w:sz w:val="28"/>
        </w:rPr>
        <w:t xml:space="preserve"> </w:t>
      </w:r>
      <w:r>
        <w:rPr>
          <w:b/>
          <w:sz w:val="28"/>
        </w:rPr>
        <w:t>TRANSICIÓN</w:t>
      </w:r>
    </w:p>
    <w:p w:rsidR="00004AD7" w:rsidRPr="004A00DE" w:rsidRDefault="00DD75F5" w:rsidP="00004AD7">
      <w:pPr>
        <w:spacing w:after="0" w:line="240" w:lineRule="auto"/>
        <w:jc w:val="center"/>
        <w:rPr>
          <w:sz w:val="24"/>
        </w:rPr>
      </w:pPr>
      <w:r w:rsidRPr="004A00DE">
        <w:rPr>
          <w:sz w:val="24"/>
        </w:rPr>
        <w:t>OFICINA ESTATAL DE POLÍTICA PÚBLICA ENERGÉTICA (OEPPE)</w:t>
      </w:r>
    </w:p>
    <w:p w:rsidR="003A147B" w:rsidRPr="004A00DE" w:rsidRDefault="003A147B" w:rsidP="003A147B">
      <w:pPr>
        <w:spacing w:after="0" w:line="240" w:lineRule="auto"/>
        <w:jc w:val="both"/>
        <w:rPr>
          <w:b/>
          <w:sz w:val="24"/>
        </w:rPr>
      </w:pPr>
    </w:p>
    <w:tbl>
      <w:tblPr>
        <w:tblStyle w:val="TableGrid"/>
        <w:tblW w:w="0" w:type="auto"/>
        <w:tblLook w:val="04A0" w:firstRow="1" w:lastRow="0" w:firstColumn="1" w:lastColumn="0" w:noHBand="0" w:noVBand="1"/>
      </w:tblPr>
      <w:tblGrid>
        <w:gridCol w:w="1710"/>
        <w:gridCol w:w="2567"/>
        <w:gridCol w:w="1740"/>
        <w:gridCol w:w="3333"/>
      </w:tblGrid>
      <w:tr w:rsidR="00393505" w:rsidRPr="004A00DE" w:rsidTr="00393505">
        <w:tc>
          <w:tcPr>
            <w:tcW w:w="2155" w:type="dxa"/>
            <w:shd w:val="clear" w:color="auto" w:fill="808080" w:themeFill="background1" w:themeFillShade="80"/>
          </w:tcPr>
          <w:p w:rsidR="00393505" w:rsidRPr="004A00DE" w:rsidRDefault="00393505" w:rsidP="003A147B">
            <w:pPr>
              <w:jc w:val="both"/>
              <w:rPr>
                <w:b/>
                <w:color w:val="FFFFFF" w:themeColor="background1"/>
                <w:sz w:val="24"/>
              </w:rPr>
            </w:pPr>
            <w:r w:rsidRPr="004A00DE">
              <w:rPr>
                <w:b/>
                <w:color w:val="FFFFFF" w:themeColor="background1"/>
                <w:sz w:val="24"/>
              </w:rPr>
              <w:t>JEFE DE AGENCIA</w:t>
            </w:r>
          </w:p>
        </w:tc>
        <w:tc>
          <w:tcPr>
            <w:tcW w:w="10800" w:type="dxa"/>
            <w:gridSpan w:val="3"/>
          </w:tcPr>
          <w:p w:rsidR="00393505" w:rsidRPr="004A00DE" w:rsidRDefault="00E860A0" w:rsidP="009D5FAE">
            <w:pPr>
              <w:jc w:val="both"/>
              <w:rPr>
                <w:sz w:val="24"/>
              </w:rPr>
            </w:pPr>
            <w:r w:rsidRPr="004A00DE">
              <w:rPr>
                <w:sz w:val="24"/>
              </w:rPr>
              <w:t>Ing. José G. Maeso González</w:t>
            </w:r>
            <w:r w:rsidR="000948F2" w:rsidRPr="004A00DE">
              <w:rPr>
                <w:sz w:val="24"/>
              </w:rPr>
              <w:t>, Director Ejecutivo</w:t>
            </w:r>
          </w:p>
        </w:tc>
      </w:tr>
      <w:tr w:rsidR="00393505" w:rsidRPr="004A00DE" w:rsidTr="00393505">
        <w:tc>
          <w:tcPr>
            <w:tcW w:w="2155" w:type="dxa"/>
            <w:shd w:val="clear" w:color="auto" w:fill="808080" w:themeFill="background1" w:themeFillShade="80"/>
          </w:tcPr>
          <w:p w:rsidR="00393505" w:rsidRPr="004A00DE" w:rsidRDefault="00393505" w:rsidP="003A147B">
            <w:pPr>
              <w:jc w:val="both"/>
              <w:rPr>
                <w:b/>
                <w:color w:val="FFFFFF" w:themeColor="background1"/>
                <w:sz w:val="24"/>
              </w:rPr>
            </w:pPr>
            <w:r w:rsidRPr="004A00DE">
              <w:rPr>
                <w:b/>
                <w:color w:val="FFFFFF" w:themeColor="background1"/>
                <w:sz w:val="24"/>
              </w:rPr>
              <w:t>FECHA</w:t>
            </w:r>
          </w:p>
        </w:tc>
        <w:tc>
          <w:tcPr>
            <w:tcW w:w="3780" w:type="dxa"/>
          </w:tcPr>
          <w:p w:rsidR="00393505" w:rsidRPr="004A00DE" w:rsidRDefault="00F873E2" w:rsidP="00EB5CFB">
            <w:pPr>
              <w:jc w:val="both"/>
              <w:rPr>
                <w:sz w:val="24"/>
              </w:rPr>
            </w:pPr>
            <w:r>
              <w:rPr>
                <w:sz w:val="24"/>
              </w:rPr>
              <w:t>14 de octubre de 2016</w:t>
            </w:r>
          </w:p>
        </w:tc>
        <w:tc>
          <w:tcPr>
            <w:tcW w:w="1980" w:type="dxa"/>
            <w:shd w:val="clear" w:color="auto" w:fill="808080" w:themeFill="background1" w:themeFillShade="80"/>
          </w:tcPr>
          <w:p w:rsidR="00393505" w:rsidRPr="004A00DE" w:rsidRDefault="00270799" w:rsidP="003A147B">
            <w:pPr>
              <w:jc w:val="both"/>
              <w:rPr>
                <w:sz w:val="24"/>
              </w:rPr>
            </w:pPr>
            <w:r>
              <w:rPr>
                <w:color w:val="FFFFFF" w:themeColor="background1"/>
                <w:sz w:val="24"/>
              </w:rPr>
              <w:t>PRE</w:t>
            </w:r>
            <w:r w:rsidR="00393505" w:rsidRPr="004A00DE">
              <w:rPr>
                <w:color w:val="FFFFFF" w:themeColor="background1"/>
                <w:sz w:val="24"/>
              </w:rPr>
              <w:t>PARADO POR</w:t>
            </w:r>
          </w:p>
        </w:tc>
        <w:tc>
          <w:tcPr>
            <w:tcW w:w="5040" w:type="dxa"/>
          </w:tcPr>
          <w:p w:rsidR="00393505" w:rsidRPr="004A00DE" w:rsidRDefault="005F0C11" w:rsidP="003A147B">
            <w:pPr>
              <w:jc w:val="both"/>
              <w:rPr>
                <w:sz w:val="24"/>
              </w:rPr>
            </w:pPr>
            <w:r w:rsidRPr="004A00DE">
              <w:rPr>
                <w:sz w:val="24"/>
              </w:rPr>
              <w:t>Ing. José G. Maeso González</w:t>
            </w:r>
          </w:p>
        </w:tc>
      </w:tr>
    </w:tbl>
    <w:p w:rsidR="003A147B" w:rsidRPr="004A00DE" w:rsidRDefault="003A147B" w:rsidP="00004AD7">
      <w:pPr>
        <w:spacing w:after="0" w:line="240" w:lineRule="auto"/>
        <w:jc w:val="center"/>
        <w:rPr>
          <w:b/>
        </w:rPr>
      </w:pPr>
    </w:p>
    <w:tbl>
      <w:tblPr>
        <w:tblStyle w:val="TableGrid"/>
        <w:tblW w:w="0" w:type="auto"/>
        <w:tblLook w:val="04A0" w:firstRow="1" w:lastRow="0" w:firstColumn="1" w:lastColumn="0" w:noHBand="0" w:noVBand="1"/>
      </w:tblPr>
      <w:tblGrid>
        <w:gridCol w:w="9350"/>
      </w:tblGrid>
      <w:tr w:rsidR="006F38A0" w:rsidRPr="005B0D67" w:rsidTr="00C41E3A">
        <w:tc>
          <w:tcPr>
            <w:tcW w:w="12950" w:type="dxa"/>
            <w:shd w:val="clear" w:color="auto" w:fill="808080" w:themeFill="background1" w:themeFillShade="80"/>
          </w:tcPr>
          <w:p w:rsidR="006F38A0" w:rsidRPr="005B0D67" w:rsidRDefault="006F38A0" w:rsidP="006F38A0">
            <w:pPr>
              <w:rPr>
                <w:rFonts w:ascii="Arial" w:hAnsi="Arial" w:cs="Arial"/>
                <w:b/>
                <w:sz w:val="24"/>
              </w:rPr>
            </w:pPr>
          </w:p>
        </w:tc>
      </w:tr>
      <w:tr w:rsidR="006F38A0" w:rsidRPr="005B0D67" w:rsidTr="006F38A0">
        <w:tc>
          <w:tcPr>
            <w:tcW w:w="12950" w:type="dxa"/>
          </w:tcPr>
          <w:p w:rsidR="00BB5D52" w:rsidRPr="005B0D67" w:rsidRDefault="00BB5D52" w:rsidP="00BB5D52">
            <w:pPr>
              <w:pStyle w:val="Default"/>
              <w:rPr>
                <w:rFonts w:ascii="Arial" w:hAnsi="Arial" w:cs="Arial"/>
                <w:szCs w:val="22"/>
              </w:rPr>
            </w:pPr>
            <w:r w:rsidRPr="005B0D67">
              <w:rPr>
                <w:rFonts w:ascii="Arial" w:hAnsi="Arial" w:cs="Arial"/>
                <w:szCs w:val="22"/>
              </w:rPr>
              <w:t xml:space="preserve">Como parte de los esfuerzos para transformar el sector de la energía en Puerto Rico y la Autoridad de Energía Eléctrica, la Ley Núm. 57 de 27 de mayo de 2014, según enmendada, mejor conocida como la “Ley de Transformación y Alivio Energético de Puerto Rico,” crea una nueva estructura gubernamental para asegurar la implementación la política pública energética. </w:t>
            </w:r>
          </w:p>
          <w:p w:rsidR="00BB5D52" w:rsidRPr="005B0D67" w:rsidRDefault="00BB5D52" w:rsidP="00BB5D52">
            <w:pPr>
              <w:pStyle w:val="Default"/>
              <w:rPr>
                <w:rFonts w:ascii="Arial" w:hAnsi="Arial" w:cs="Arial"/>
                <w:szCs w:val="22"/>
              </w:rPr>
            </w:pPr>
          </w:p>
          <w:p w:rsidR="00BB5D52" w:rsidRPr="005B0D67" w:rsidRDefault="00BB5D52" w:rsidP="00BB5D52">
            <w:pPr>
              <w:pStyle w:val="Default"/>
              <w:rPr>
                <w:rFonts w:ascii="Arial" w:hAnsi="Arial" w:cs="Arial"/>
                <w:szCs w:val="22"/>
              </w:rPr>
            </w:pPr>
            <w:r w:rsidRPr="005B0D67">
              <w:rPr>
                <w:rFonts w:ascii="Arial" w:hAnsi="Arial" w:cs="Arial"/>
                <w:szCs w:val="22"/>
              </w:rPr>
              <w:t xml:space="preserve">La Oficina Estatal de Política Pública Energética (OEPPE) pasó a ser la sucesora legal de todas las funciones y deberes de la Administración de Asuntos Energéticos (AAE) y fue encomendada dentro de la nueva estructura energética como la agencia pública encargada de desarrollar y promover la política pública energética del Estado Libre Asociado de Puerto Rico y asesorar a la Oficina del Gobernador sobre los temas energéticos de Puerto Rico. </w:t>
            </w:r>
          </w:p>
          <w:p w:rsidR="00BB5D52" w:rsidRPr="005B0D67" w:rsidRDefault="00BB5D52" w:rsidP="00BB5D52">
            <w:pPr>
              <w:pStyle w:val="Default"/>
              <w:rPr>
                <w:rFonts w:ascii="Arial" w:hAnsi="Arial" w:cs="Arial"/>
                <w:szCs w:val="22"/>
              </w:rPr>
            </w:pPr>
          </w:p>
          <w:p w:rsidR="00BB5D52" w:rsidRPr="005B0D67" w:rsidRDefault="00BB5D52" w:rsidP="00BB5D52">
            <w:pPr>
              <w:pStyle w:val="Default"/>
              <w:rPr>
                <w:rFonts w:ascii="Arial" w:hAnsi="Arial" w:cs="Arial"/>
                <w:szCs w:val="22"/>
              </w:rPr>
            </w:pPr>
            <w:r w:rsidRPr="005B0D67">
              <w:rPr>
                <w:rFonts w:ascii="Arial" w:hAnsi="Arial" w:cs="Arial"/>
                <w:szCs w:val="22"/>
              </w:rPr>
              <w:t xml:space="preserve">Entre los logros más significativos en los últimos años se encuentran el posicionamiento de la agencia en las discusiones del tema energético dentro y fuera de Puerto Rico y los logros con nuestro programa educativo Tomemos El Control.  Durante este año la OEPPE realizó varios seminarios dirigidos a ofrecer orientación y dirección sobre cómo establecer exitosamente un plan de conservación y eficiencia energética a las agencias de gobierno y a los municipios. Este tipo de talleres ayudan a adelantar la política pública energética del País. Los adiestramientos contaron con buena asistencia y tuvieron una respuesta excelente por parte de los participantes. </w:t>
            </w:r>
          </w:p>
          <w:p w:rsidR="00BB5D52" w:rsidRPr="005B0D67" w:rsidRDefault="00BB5D52" w:rsidP="00BB5D52">
            <w:pPr>
              <w:pStyle w:val="Default"/>
              <w:rPr>
                <w:rFonts w:ascii="Arial" w:hAnsi="Arial" w:cs="Arial"/>
                <w:szCs w:val="22"/>
              </w:rPr>
            </w:pPr>
          </w:p>
          <w:p w:rsidR="00BB5D52" w:rsidRPr="005B0D67" w:rsidRDefault="00BB5D52" w:rsidP="00BB5D52">
            <w:pPr>
              <w:pStyle w:val="Default"/>
              <w:rPr>
                <w:rFonts w:ascii="Arial" w:hAnsi="Arial" w:cs="Arial"/>
                <w:szCs w:val="22"/>
              </w:rPr>
            </w:pPr>
            <w:r w:rsidRPr="005B0D67">
              <w:rPr>
                <w:rFonts w:ascii="Arial" w:hAnsi="Arial" w:cs="Arial"/>
                <w:szCs w:val="22"/>
              </w:rPr>
              <w:t>Además, a través de estos seminarios hemos podido orientar a las estructuras gubernamentales sobre las funciones de la agencia y los beneficios que tienen algunos programas para las mismas. También, a través de estas actividades, la OEPPE pudo explicarles a los asistentes sobre la Ley 57-2014 y los requerimientos relacionados a la reducción en consumo de energía y agua de la Ley 66-2014.</w:t>
            </w:r>
          </w:p>
          <w:p w:rsidR="00BB5D52" w:rsidRPr="005B0D67" w:rsidRDefault="00BB5D52" w:rsidP="00BB5D52">
            <w:pPr>
              <w:pStyle w:val="Default"/>
              <w:rPr>
                <w:rFonts w:ascii="Arial" w:hAnsi="Arial" w:cs="Arial"/>
                <w:szCs w:val="22"/>
              </w:rPr>
            </w:pPr>
          </w:p>
          <w:p w:rsidR="004B6084" w:rsidRDefault="00BB5D52" w:rsidP="00BB5D52">
            <w:pPr>
              <w:pStyle w:val="Default"/>
              <w:rPr>
                <w:rFonts w:ascii="Arial" w:hAnsi="Arial" w:cs="Arial"/>
                <w:szCs w:val="22"/>
              </w:rPr>
            </w:pPr>
            <w:r w:rsidRPr="005B0D67">
              <w:rPr>
                <w:rFonts w:ascii="Arial" w:hAnsi="Arial" w:cs="Arial"/>
                <w:szCs w:val="22"/>
              </w:rPr>
              <w:lastRenderedPageBreak/>
              <w:t>Actualmente la OEPPE ofrece una auditoría energética gratuita bajo el State Energy Program a agencias gubernamentales y municipios.</w:t>
            </w:r>
          </w:p>
          <w:p w:rsidR="005B0D67" w:rsidRDefault="005B0D67" w:rsidP="00BB5D52">
            <w:pPr>
              <w:pStyle w:val="Default"/>
              <w:rPr>
                <w:rFonts w:ascii="Arial" w:hAnsi="Arial" w:cs="Arial"/>
                <w:szCs w:val="22"/>
              </w:rPr>
            </w:pPr>
          </w:p>
          <w:p w:rsidR="005B0D67" w:rsidRPr="005B0D67" w:rsidRDefault="005B0D67" w:rsidP="005B0D67">
            <w:pPr>
              <w:pStyle w:val="Default"/>
              <w:rPr>
                <w:rFonts w:ascii="Arial" w:hAnsi="Arial" w:cs="Arial"/>
              </w:rPr>
            </w:pPr>
            <w:r w:rsidRPr="005B0D67">
              <w:rPr>
                <w:rFonts w:ascii="Arial" w:hAnsi="Arial" w:cs="Arial"/>
              </w:rPr>
              <w:t>La OEPPE cuenta con distintas facultades y administra distintos programas, entre ellos: el Fondo de Energía Verde, el Programa de Climatización de Hogares (Weatherization Assistance Program), el State Energy Program, el Programa de Contratos de Rendimiento Energético y el Programa de Ahorros Energéticos Compartidos, con el propósito principal de fomentar la eficiencia energética en las operaciones y diario vivir de los puertorriqueños e introducir las energías renovables a la red eléctrica de Puerto Rico.</w:t>
            </w:r>
          </w:p>
          <w:p w:rsidR="005B0D67" w:rsidRPr="005B0D67" w:rsidRDefault="005B0D67" w:rsidP="005B0D67">
            <w:pPr>
              <w:pStyle w:val="Default"/>
              <w:rPr>
                <w:rFonts w:ascii="Arial" w:hAnsi="Arial" w:cs="Arial"/>
              </w:rPr>
            </w:pPr>
          </w:p>
          <w:p w:rsidR="005B0D67" w:rsidRPr="005B0D67" w:rsidRDefault="005B0D67" w:rsidP="005B0D67">
            <w:pPr>
              <w:pStyle w:val="Default"/>
              <w:rPr>
                <w:rFonts w:ascii="Arial" w:hAnsi="Arial" w:cs="Arial"/>
              </w:rPr>
            </w:pPr>
            <w:r w:rsidRPr="005B0D67">
              <w:rPr>
                <w:rFonts w:ascii="Arial" w:hAnsi="Arial" w:cs="Arial"/>
              </w:rPr>
              <w:t>La OEPPE persiste en obtener los mejores servicios de energía al menor costo posible, que la energía sea parte del desarrollo económico del país, y que mejoremos el ambiente que nos rodea.</w:t>
            </w:r>
          </w:p>
          <w:p w:rsidR="005B0D67" w:rsidRPr="005B0D67" w:rsidRDefault="005B0D67" w:rsidP="005B0D67">
            <w:pPr>
              <w:pStyle w:val="Default"/>
              <w:rPr>
                <w:rFonts w:ascii="Arial" w:hAnsi="Arial" w:cs="Arial"/>
              </w:rPr>
            </w:pPr>
          </w:p>
          <w:p w:rsidR="005B0D67" w:rsidRPr="005B0D67" w:rsidRDefault="005B0D67" w:rsidP="005B0D67">
            <w:pPr>
              <w:pStyle w:val="Default"/>
              <w:rPr>
                <w:rFonts w:ascii="Arial" w:hAnsi="Arial" w:cs="Arial"/>
              </w:rPr>
            </w:pPr>
            <w:r w:rsidRPr="005B0D67">
              <w:rPr>
                <w:rFonts w:ascii="Arial" w:hAnsi="Arial" w:cs="Arial"/>
              </w:rPr>
              <w:t>A tono con el esfuerzo ante la OGP para la aprobación de una nueva estructura de la OEPPE según los mandatos de la Ley 57-2014, hemos recomendado la siguiente estructura programática (ver Figura 1).  De la Ley 57-2014 se desprenden cuatro áreas bajo las cuales la Oficina debe organizar sus trabajos.  Estas son:</w:t>
            </w:r>
          </w:p>
          <w:p w:rsidR="005B0D67" w:rsidRPr="005B0D67" w:rsidRDefault="005B0D67" w:rsidP="005B0D67">
            <w:pPr>
              <w:pStyle w:val="Default"/>
              <w:numPr>
                <w:ilvl w:val="0"/>
                <w:numId w:val="15"/>
              </w:numPr>
              <w:rPr>
                <w:rFonts w:ascii="Arial" w:hAnsi="Arial" w:cs="Arial"/>
              </w:rPr>
            </w:pPr>
            <w:r w:rsidRPr="005B0D67">
              <w:rPr>
                <w:rFonts w:ascii="Arial" w:hAnsi="Arial" w:cs="Arial"/>
              </w:rPr>
              <w:t>conservación y eficiencia energética</w:t>
            </w:r>
          </w:p>
          <w:p w:rsidR="005B0D67" w:rsidRPr="005B0D67" w:rsidRDefault="005B0D67" w:rsidP="005B0D67">
            <w:pPr>
              <w:pStyle w:val="Default"/>
              <w:numPr>
                <w:ilvl w:val="0"/>
                <w:numId w:val="15"/>
              </w:numPr>
              <w:rPr>
                <w:rFonts w:ascii="Arial" w:hAnsi="Arial" w:cs="Arial"/>
              </w:rPr>
            </w:pPr>
            <w:r w:rsidRPr="005B0D67">
              <w:rPr>
                <w:rFonts w:ascii="Arial" w:hAnsi="Arial" w:cs="Arial"/>
              </w:rPr>
              <w:t>autonomía energética</w:t>
            </w:r>
          </w:p>
          <w:p w:rsidR="005B0D67" w:rsidRPr="005B0D67" w:rsidRDefault="005B0D67" w:rsidP="005B0D67">
            <w:pPr>
              <w:pStyle w:val="Default"/>
              <w:numPr>
                <w:ilvl w:val="0"/>
                <w:numId w:val="15"/>
              </w:numPr>
              <w:rPr>
                <w:rFonts w:ascii="Arial" w:hAnsi="Arial" w:cs="Arial"/>
              </w:rPr>
            </w:pPr>
            <w:r w:rsidRPr="005B0D67">
              <w:rPr>
                <w:rFonts w:ascii="Arial" w:hAnsi="Arial" w:cs="Arial"/>
              </w:rPr>
              <w:t>servicio eléctrico</w:t>
            </w:r>
          </w:p>
          <w:p w:rsidR="005B0D67" w:rsidRPr="005B0D67" w:rsidRDefault="005B0D67" w:rsidP="005B0D67">
            <w:pPr>
              <w:pStyle w:val="Default"/>
              <w:numPr>
                <w:ilvl w:val="0"/>
                <w:numId w:val="15"/>
              </w:numPr>
              <w:rPr>
                <w:rFonts w:ascii="Arial" w:hAnsi="Arial" w:cs="Arial"/>
              </w:rPr>
            </w:pPr>
            <w:r w:rsidRPr="005B0D67">
              <w:rPr>
                <w:rFonts w:ascii="Arial" w:hAnsi="Arial" w:cs="Arial"/>
              </w:rPr>
              <w:t>transportación</w:t>
            </w:r>
          </w:p>
          <w:p w:rsidR="005B0D67" w:rsidRPr="005B0D67" w:rsidRDefault="005B0D67" w:rsidP="005B0D67">
            <w:pPr>
              <w:pStyle w:val="Default"/>
              <w:rPr>
                <w:rFonts w:ascii="Arial" w:hAnsi="Arial" w:cs="Arial"/>
              </w:rPr>
            </w:pPr>
          </w:p>
          <w:p w:rsidR="005B0D67" w:rsidRPr="005B0D67" w:rsidRDefault="005B0D67" w:rsidP="005B0D67">
            <w:pPr>
              <w:pStyle w:val="Default"/>
              <w:rPr>
                <w:rFonts w:ascii="Arial" w:hAnsi="Arial" w:cs="Arial"/>
              </w:rPr>
            </w:pPr>
            <w:r w:rsidRPr="005B0D67">
              <w:rPr>
                <w:rFonts w:ascii="Arial" w:hAnsi="Arial" w:cs="Arial"/>
              </w:rPr>
              <w:t>Estas, junto a un área de apoyo de Planificación y Estadísticas, completarían lo que llamamos la División de Política Pública y Planificación.  Además de esta área se han propuesto un área de Medios y Comunicación Pública y un área de Propuestas y Programas Federales y Estatales.  La Oficina del Director Ejecutivo contaría con asesoría legal para el cabal cumplimiento con las leyes y reglamentos del Estado Libre Asociado, tanto internos como externos, y supervisaría la administración de todas las áreas.  Esta estructura programática propuesta está representada en la Figura 1.</w:t>
            </w:r>
          </w:p>
          <w:p w:rsidR="00523310" w:rsidRPr="005B0D67" w:rsidRDefault="00523310" w:rsidP="00523310">
            <w:pPr>
              <w:rPr>
                <w:rFonts w:ascii="Arial" w:hAnsi="Arial" w:cs="Arial"/>
                <w:b/>
                <w:sz w:val="24"/>
              </w:rPr>
            </w:pPr>
          </w:p>
        </w:tc>
      </w:tr>
    </w:tbl>
    <w:p w:rsidR="003A147B" w:rsidRPr="00F873E2" w:rsidRDefault="003A147B" w:rsidP="00004AD7">
      <w:pPr>
        <w:spacing w:after="0" w:line="240" w:lineRule="auto"/>
        <w:jc w:val="center"/>
      </w:pPr>
    </w:p>
    <w:p w:rsidR="005E0E60" w:rsidRDefault="005E0E60"/>
    <w:p w:rsidR="00BB5D52" w:rsidRDefault="00BB5D52">
      <w:pPr>
        <w:sectPr w:rsidR="00BB5D52" w:rsidSect="00F873E2">
          <w:headerReference w:type="default" r:id="rId10"/>
          <w:footerReference w:type="default" r:id="rId11"/>
          <w:pgSz w:w="12240" w:h="15840"/>
          <w:pgMar w:top="990" w:right="1440" w:bottom="1440" w:left="1440" w:header="720" w:footer="270" w:gutter="0"/>
          <w:cols w:space="720"/>
          <w:docGrid w:linePitch="360"/>
        </w:sectPr>
      </w:pPr>
    </w:p>
    <w:p w:rsidR="005E0E60" w:rsidRDefault="003F407A">
      <w:pPr>
        <w:sectPr w:rsidR="005E0E60" w:rsidSect="005E0E60">
          <w:headerReference w:type="default" r:id="rId12"/>
          <w:footerReference w:type="default" r:id="rId13"/>
          <w:pgSz w:w="24480" w:h="15840" w:orient="landscape" w:code="17"/>
          <w:pgMar w:top="1440" w:right="1440" w:bottom="1440" w:left="990" w:header="720" w:footer="270" w:gutter="0"/>
          <w:cols w:space="720"/>
          <w:docGrid w:linePitch="360"/>
        </w:sectPr>
      </w:pPr>
      <w:r>
        <w:rPr>
          <w:noProof/>
          <w:lang w:eastAsia="es-PR"/>
        </w:rPr>
        <w:lastRenderedPageBreak/>
        <mc:AlternateContent>
          <mc:Choice Requires="wps">
            <w:drawing>
              <wp:anchor distT="45720" distB="45720" distL="114300" distR="114300" simplePos="0" relativeHeight="251673600" behindDoc="0" locked="0" layoutInCell="1" allowOverlap="1">
                <wp:simplePos x="0" y="0"/>
                <wp:positionH relativeFrom="margin">
                  <wp:align>right</wp:align>
                </wp:positionH>
                <wp:positionV relativeFrom="paragraph">
                  <wp:posOffset>8313844</wp:posOffset>
                </wp:positionV>
                <wp:extent cx="6722110" cy="5194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519430"/>
                        </a:xfrm>
                        <a:prstGeom prst="rect">
                          <a:avLst/>
                        </a:prstGeom>
                        <a:noFill/>
                        <a:ln w="9525">
                          <a:noFill/>
                          <a:miter lim="800000"/>
                          <a:headEnd/>
                          <a:tailEnd/>
                        </a:ln>
                      </wps:spPr>
                      <wps:txbx>
                        <w:txbxContent>
                          <w:p w:rsidR="0061699A" w:rsidRPr="003F407A" w:rsidRDefault="00D27D02" w:rsidP="003F407A">
                            <w:pPr>
                              <w:tabs>
                                <w:tab w:val="left" w:pos="900"/>
                                <w:tab w:val="left" w:pos="1260"/>
                              </w:tabs>
                              <w:ind w:left="900" w:hanging="900"/>
                              <w:rPr>
                                <w14:textOutline w14:w="9525" w14:cap="rnd" w14:cmpd="sng" w14:algn="ctr">
                                  <w14:noFill/>
                                  <w14:prstDash w14:val="solid"/>
                                  <w14:bevel/>
                                </w14:textOutline>
                              </w:rPr>
                            </w:pPr>
                            <w:r>
                              <w:rPr>
                                <w:b/>
                                <w14:textOutline w14:w="9525" w14:cap="rnd" w14:cmpd="sng" w14:algn="ctr">
                                  <w14:noFill/>
                                  <w14:prstDash w14:val="solid"/>
                                  <w14:bevel/>
                                </w14:textOutline>
                              </w:rPr>
                              <w:t>Figura 1</w:t>
                            </w:r>
                            <w:r w:rsidR="0061699A" w:rsidRPr="003F407A">
                              <w:rPr>
                                <w:b/>
                                <w14:textOutline w14:w="9525" w14:cap="rnd" w14:cmpd="sng" w14:algn="ctr">
                                  <w14:noFill/>
                                  <w14:prstDash w14:val="solid"/>
                                  <w14:bevel/>
                                </w14:textOutline>
                              </w:rPr>
                              <w:t>.</w:t>
                            </w:r>
                            <w:r w:rsidR="0061699A" w:rsidRPr="003F407A">
                              <w:rPr>
                                <w14:textOutline w14:w="9525" w14:cap="rnd" w14:cmpd="sng" w14:algn="ctr">
                                  <w14:noFill/>
                                  <w14:prstDash w14:val="solid"/>
                                  <w14:bevel/>
                                </w14:textOutline>
                              </w:rPr>
                              <w:tab/>
                              <w:t>Estructura programática propuesta por la OEPPE según las funciones establecidas en la Ley 57-2014.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78.1pt;margin-top:654.65pt;width:529.3pt;height:40.9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" filled="f" stroked="f">
                <v:textbox>
                  <w:txbxContent>
                    <w:p w:rsidR="0061699A" w:rsidRPr="003F407A" w:rsidRDefault="00D27D02" w:rsidP="003F407A">
                      <w:pPr>
                        <w:tabs>
                          <w:tab w:val="left" w:pos="900"/>
                          <w:tab w:val="left" w:pos="1260"/>
                        </w:tabs>
                        <w:ind w:left="900" w:hanging="900"/>
                        <w:rPr>
                          <w14:textOutline w14:w="9525" w14:cap="rnd" w14:cmpd="sng" w14:algn="ctr">
                            <w14:noFill/>
                            <w14:prstDash w14:val="solid"/>
                            <w14:bevel/>
                          </w14:textOutline>
                        </w:rPr>
                      </w:pPr>
                      <w:r>
                        <w:rPr>
                          <w:b/>
                          <w14:textOutline w14:w="9525" w14:cap="rnd" w14:cmpd="sng" w14:algn="ctr">
                            <w14:noFill/>
                            <w14:prstDash w14:val="solid"/>
                            <w14:bevel/>
                          </w14:textOutline>
                        </w:rPr>
                        <w:t>Figura 1</w:t>
                      </w:r>
                      <w:r w:rsidR="0061699A" w:rsidRPr="003F407A">
                        <w:rPr>
                          <w:b/>
                          <w14:textOutline w14:w="9525" w14:cap="rnd" w14:cmpd="sng" w14:algn="ctr">
                            <w14:noFill/>
                            <w14:prstDash w14:val="solid"/>
                            <w14:bevel/>
                          </w14:textOutline>
                        </w:rPr>
                        <w:t>.</w:t>
                      </w:r>
                      <w:r w:rsidR="0061699A" w:rsidRPr="003F407A">
                        <w:rPr>
                          <w14:textOutline w14:w="9525" w14:cap="rnd" w14:cmpd="sng" w14:algn="ctr">
                            <w14:noFill/>
                            <w14:prstDash w14:val="solid"/>
                            <w14:bevel/>
                          </w14:textOutline>
                        </w:rPr>
                        <w:tab/>
                        <w:t>Estructura programática propuesta por la OEPPE según las funciones establecidas en la Ley 57-2014.</w:t>
                      </w:r>
                    </w:p>
                  </w:txbxContent>
                </v:textbox>
                <w10:wrap anchorx="margin"/>
              </v:shape>
            </w:pict>
          </mc:Fallback>
        </mc:AlternateContent>
      </w:r>
      <w:r w:rsidR="00323C85" w:rsidRPr="00323C85">
        <w:rPr>
          <w:noProof/>
          <w:lang w:eastAsia="es-PR"/>
        </w:rPr>
        <w:drawing>
          <wp:inline distT="0" distB="0" distL="0" distR="0">
            <wp:extent cx="14001750" cy="8013476"/>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1750" cy="8013476"/>
                    </a:xfrm>
                    <a:prstGeom prst="rect">
                      <a:avLst/>
                    </a:prstGeom>
                    <a:noFill/>
                    <a:ln>
                      <a:noFill/>
                    </a:ln>
                  </pic:spPr>
                </pic:pic>
              </a:graphicData>
            </a:graphic>
          </wp:inline>
        </w:drawing>
      </w:r>
    </w:p>
    <w:p w:rsidR="00384A0E" w:rsidRDefault="00384A0E"/>
    <w:p w:rsidR="00384A0E" w:rsidRDefault="00384A0E" w:rsidP="00384A0E">
      <w:pPr>
        <w:jc w:val="center"/>
      </w:pPr>
    </w:p>
    <w:tbl>
      <w:tblPr>
        <w:tblStyle w:val="TableGrid"/>
        <w:tblW w:w="0" w:type="auto"/>
        <w:tblLook w:val="04A0" w:firstRow="1" w:lastRow="0" w:firstColumn="1" w:lastColumn="0" w:noHBand="0" w:noVBand="1"/>
      </w:tblPr>
      <w:tblGrid>
        <w:gridCol w:w="3029"/>
        <w:gridCol w:w="6321"/>
      </w:tblGrid>
      <w:tr w:rsidR="009510E6" w:rsidRPr="00777EE4" w:rsidTr="00384A0E">
        <w:tc>
          <w:tcPr>
            <w:tcW w:w="9350" w:type="dxa"/>
            <w:gridSpan w:val="2"/>
            <w:shd w:val="clear" w:color="auto" w:fill="808080" w:themeFill="background1" w:themeFillShade="80"/>
          </w:tcPr>
          <w:p w:rsidR="009510E6" w:rsidRPr="00777EE4" w:rsidRDefault="009510E6" w:rsidP="00777EE4">
            <w:pPr>
              <w:jc w:val="both"/>
              <w:rPr>
                <w:rFonts w:ascii="Arial" w:hAnsi="Arial" w:cs="Arial"/>
                <w:b/>
                <w:sz w:val="24"/>
                <w:szCs w:val="24"/>
              </w:rPr>
            </w:pPr>
          </w:p>
        </w:tc>
      </w:tr>
      <w:tr w:rsidR="00BB5D52" w:rsidRPr="00777EE4" w:rsidTr="00BB5D52">
        <w:tc>
          <w:tcPr>
            <w:tcW w:w="9350" w:type="dxa"/>
            <w:gridSpan w:val="2"/>
            <w:shd w:val="clear" w:color="auto" w:fill="auto"/>
          </w:tcPr>
          <w:p w:rsidR="00BB5D52" w:rsidRPr="00777EE4" w:rsidRDefault="00BB5D52" w:rsidP="0061699A">
            <w:pPr>
              <w:jc w:val="both"/>
              <w:rPr>
                <w:rFonts w:ascii="Arial" w:hAnsi="Arial" w:cs="Arial"/>
                <w:sz w:val="24"/>
                <w:szCs w:val="24"/>
              </w:rPr>
            </w:pPr>
          </w:p>
          <w:p w:rsidR="00BB5D52" w:rsidRPr="00777EE4" w:rsidRDefault="00BB5D52" w:rsidP="0061699A">
            <w:pPr>
              <w:jc w:val="both"/>
              <w:rPr>
                <w:rFonts w:ascii="Arial" w:hAnsi="Arial" w:cs="Arial"/>
                <w:sz w:val="24"/>
                <w:szCs w:val="24"/>
              </w:rPr>
            </w:pPr>
            <w:r w:rsidRPr="00777EE4">
              <w:rPr>
                <w:rFonts w:ascii="Arial" w:hAnsi="Arial" w:cs="Arial"/>
                <w:sz w:val="24"/>
                <w:szCs w:val="24"/>
              </w:rPr>
              <w:t>Entre los logros más significativos</w:t>
            </w:r>
            <w:r w:rsidR="005B0D67">
              <w:rPr>
                <w:rFonts w:ascii="Arial" w:hAnsi="Arial" w:cs="Arial"/>
                <w:sz w:val="24"/>
                <w:szCs w:val="24"/>
              </w:rPr>
              <w:t xml:space="preserve"> de la OEPPE</w:t>
            </w:r>
            <w:r w:rsidRPr="00777EE4">
              <w:rPr>
                <w:rFonts w:ascii="Arial" w:hAnsi="Arial" w:cs="Arial"/>
                <w:sz w:val="24"/>
                <w:szCs w:val="24"/>
              </w:rPr>
              <w:t xml:space="preserve"> se encuentran:</w:t>
            </w:r>
          </w:p>
          <w:p w:rsidR="00BB5D52" w:rsidRPr="00777EE4" w:rsidRDefault="00BB5D52" w:rsidP="0061699A">
            <w:pPr>
              <w:jc w:val="both"/>
              <w:rPr>
                <w:rFonts w:ascii="Arial" w:hAnsi="Arial" w:cs="Arial"/>
                <w:b/>
                <w:sz w:val="24"/>
                <w:szCs w:val="24"/>
              </w:rPr>
            </w:pPr>
          </w:p>
        </w:tc>
      </w:tr>
      <w:tr w:rsidR="009510E6" w:rsidRPr="00777EE4" w:rsidTr="00384A0E">
        <w:tc>
          <w:tcPr>
            <w:tcW w:w="3029" w:type="dxa"/>
            <w:shd w:val="clear" w:color="auto" w:fill="BFBFBF" w:themeFill="background1" w:themeFillShade="BF"/>
          </w:tcPr>
          <w:p w:rsidR="009510E6" w:rsidRPr="00777EE4" w:rsidRDefault="009510E6" w:rsidP="0061699A">
            <w:pPr>
              <w:jc w:val="both"/>
              <w:rPr>
                <w:rFonts w:ascii="Arial" w:hAnsi="Arial" w:cs="Arial"/>
                <w:b/>
                <w:sz w:val="24"/>
                <w:szCs w:val="24"/>
              </w:rPr>
            </w:pPr>
            <w:r w:rsidRPr="00777EE4">
              <w:rPr>
                <w:rFonts w:ascii="Arial" w:hAnsi="Arial" w:cs="Arial"/>
                <w:b/>
                <w:sz w:val="24"/>
                <w:szCs w:val="24"/>
              </w:rPr>
              <w:t>Resumen del logro</w:t>
            </w:r>
          </w:p>
        </w:tc>
        <w:tc>
          <w:tcPr>
            <w:tcW w:w="6321" w:type="dxa"/>
            <w:shd w:val="clear" w:color="auto" w:fill="BFBFBF" w:themeFill="background1" w:themeFillShade="BF"/>
          </w:tcPr>
          <w:p w:rsidR="009510E6" w:rsidRPr="00777EE4" w:rsidRDefault="009510E6" w:rsidP="0061699A">
            <w:pPr>
              <w:jc w:val="both"/>
              <w:rPr>
                <w:rFonts w:ascii="Arial" w:hAnsi="Arial" w:cs="Arial"/>
                <w:b/>
                <w:sz w:val="24"/>
                <w:szCs w:val="24"/>
              </w:rPr>
            </w:pPr>
            <w:r w:rsidRPr="00777EE4">
              <w:rPr>
                <w:rFonts w:ascii="Arial" w:hAnsi="Arial" w:cs="Arial"/>
                <w:b/>
                <w:sz w:val="24"/>
                <w:szCs w:val="24"/>
              </w:rPr>
              <w:t>Comentarios</w:t>
            </w:r>
          </w:p>
        </w:tc>
      </w:tr>
      <w:tr w:rsidR="009510E6" w:rsidRPr="00777EE4" w:rsidTr="00384A0E">
        <w:tc>
          <w:tcPr>
            <w:tcW w:w="3029" w:type="dxa"/>
          </w:tcPr>
          <w:p w:rsidR="009510E6" w:rsidRPr="00777EE4" w:rsidRDefault="009510E6" w:rsidP="0061699A">
            <w:pPr>
              <w:jc w:val="both"/>
              <w:rPr>
                <w:rFonts w:ascii="Arial" w:hAnsi="Arial" w:cs="Arial"/>
                <w:sz w:val="24"/>
                <w:szCs w:val="24"/>
              </w:rPr>
            </w:pPr>
            <w:r w:rsidRPr="00777EE4">
              <w:rPr>
                <w:rFonts w:ascii="Arial" w:hAnsi="Arial" w:cs="Arial"/>
                <w:sz w:val="24"/>
                <w:szCs w:val="24"/>
              </w:rPr>
              <w:t>Publicación del Informe sobre Emisiones de Gases con Efecto Invernadero- Puerto Rico 2014</w:t>
            </w:r>
          </w:p>
        </w:tc>
        <w:tc>
          <w:tcPr>
            <w:tcW w:w="6321" w:type="dxa"/>
          </w:tcPr>
          <w:p w:rsidR="009510E6" w:rsidRPr="00777EE4" w:rsidRDefault="009510E6" w:rsidP="0061699A">
            <w:pPr>
              <w:jc w:val="both"/>
              <w:rPr>
                <w:rFonts w:ascii="Arial" w:hAnsi="Arial" w:cs="Arial"/>
                <w:sz w:val="24"/>
                <w:szCs w:val="24"/>
              </w:rPr>
            </w:pPr>
            <w:r w:rsidRPr="00777EE4">
              <w:rPr>
                <w:rFonts w:ascii="Arial" w:hAnsi="Arial" w:cs="Arial"/>
                <w:sz w:val="24"/>
                <w:szCs w:val="24"/>
              </w:rPr>
              <w:t>La OE-2013-018 ordena a la Oficina Estatal de Política Pública Energética (en aquel entonces, la Administración de Asuntos Energéticos), en coordinación con el Departamento de Recursos Naturales y Ambientales y la Junta de Calidad Ambiental, diseñar y ejecutar un estudio científico que cuantifique la cantidad de gases con efecto invernadero que liberan a la atmósfera en Puerto Rio, entre otras tareas esbozadas.  El estudio se encuentra disponible en el portal de Internet de la OEPPE. (</w:t>
            </w:r>
            <w:hyperlink r:id="rId15" w:history="1">
              <w:r w:rsidRPr="00777EE4">
                <w:rPr>
                  <w:rStyle w:val="Hyperlink"/>
                  <w:rFonts w:ascii="Arial" w:hAnsi="Arial" w:cs="Arial"/>
                  <w:sz w:val="24"/>
                  <w:szCs w:val="24"/>
                </w:rPr>
                <w:t>http://oficinadeenergia.pr.gov</w:t>
              </w:r>
            </w:hyperlink>
            <w:r w:rsidRPr="00777EE4">
              <w:rPr>
                <w:rFonts w:ascii="Arial" w:hAnsi="Arial" w:cs="Arial"/>
                <w:sz w:val="24"/>
                <w:szCs w:val="24"/>
              </w:rPr>
              <w:t>).</w:t>
            </w:r>
          </w:p>
          <w:p w:rsidR="009510E6" w:rsidRPr="00777EE4" w:rsidRDefault="009510E6" w:rsidP="0061699A">
            <w:pPr>
              <w:jc w:val="both"/>
              <w:rPr>
                <w:rFonts w:ascii="Arial" w:hAnsi="Arial" w:cs="Arial"/>
                <w:sz w:val="24"/>
                <w:szCs w:val="24"/>
              </w:rPr>
            </w:pPr>
          </w:p>
        </w:tc>
      </w:tr>
      <w:tr w:rsidR="009510E6" w:rsidRPr="00777EE4" w:rsidTr="00384A0E">
        <w:tc>
          <w:tcPr>
            <w:tcW w:w="3029" w:type="dxa"/>
          </w:tcPr>
          <w:p w:rsidR="009510E6" w:rsidRPr="00777EE4" w:rsidRDefault="00461198" w:rsidP="0061699A">
            <w:pPr>
              <w:jc w:val="both"/>
              <w:rPr>
                <w:rFonts w:ascii="Arial" w:hAnsi="Arial" w:cs="Arial"/>
                <w:sz w:val="24"/>
                <w:szCs w:val="24"/>
              </w:rPr>
            </w:pPr>
            <w:r w:rsidRPr="00777EE4">
              <w:rPr>
                <w:rFonts w:ascii="Arial" w:hAnsi="Arial" w:cs="Arial"/>
                <w:sz w:val="24"/>
                <w:szCs w:val="24"/>
              </w:rPr>
              <w:t xml:space="preserve">Publicación del </w:t>
            </w:r>
            <w:r w:rsidR="009510E6" w:rsidRPr="00777EE4">
              <w:rPr>
                <w:rFonts w:ascii="Arial" w:hAnsi="Arial" w:cs="Arial"/>
                <w:sz w:val="24"/>
                <w:szCs w:val="24"/>
              </w:rPr>
              <w:t>Estado de Situación Energética de Puerto Rico 2014</w:t>
            </w:r>
          </w:p>
        </w:tc>
        <w:tc>
          <w:tcPr>
            <w:tcW w:w="6321" w:type="dxa"/>
          </w:tcPr>
          <w:p w:rsidR="009510E6" w:rsidRDefault="009510E6" w:rsidP="005B0D67">
            <w:pPr>
              <w:jc w:val="both"/>
              <w:rPr>
                <w:rFonts w:ascii="Arial" w:hAnsi="Arial" w:cs="Arial"/>
                <w:sz w:val="24"/>
                <w:szCs w:val="24"/>
              </w:rPr>
            </w:pPr>
            <w:r w:rsidRPr="00777EE4">
              <w:rPr>
                <w:rFonts w:ascii="Arial" w:hAnsi="Arial" w:cs="Arial"/>
                <w:sz w:val="24"/>
                <w:szCs w:val="24"/>
              </w:rPr>
              <w:t>La Ley Núm. 57 de 27 de mayo de 2014 requiere que para cada año se prepare y someta al Gobernador y a la Asamblea Legislativa, un informe anual que detalle el estado de situación energética del País, los resultados de la implementación de la política pública energética y los resultados de los esfuerzos de la Oficina Estatal de Política Pública Energética en desarrollar y promulgar dicha política pública energética.  El mismo fue presentado en marzo de 2015 y publicado en el portal de Internet de la agencia.</w:t>
            </w:r>
            <w:r w:rsidR="00461198" w:rsidRPr="00777EE4">
              <w:rPr>
                <w:rFonts w:ascii="Arial" w:hAnsi="Arial" w:cs="Arial"/>
                <w:sz w:val="24"/>
                <w:szCs w:val="24"/>
              </w:rPr>
              <w:t xml:space="preserve">  </w:t>
            </w:r>
            <w:r w:rsidR="005B0D67">
              <w:rPr>
                <w:rFonts w:ascii="Arial" w:hAnsi="Arial" w:cs="Arial"/>
                <w:sz w:val="24"/>
                <w:szCs w:val="24"/>
              </w:rPr>
              <w:t>Es la primera vez que se conozca que gran parte de la información de la situación energética del país se encuentra en un solo documento.</w:t>
            </w:r>
          </w:p>
          <w:p w:rsidR="005B0D67" w:rsidRPr="00777EE4" w:rsidRDefault="005B0D67" w:rsidP="005B0D67">
            <w:pPr>
              <w:jc w:val="both"/>
              <w:rPr>
                <w:rFonts w:ascii="Arial" w:hAnsi="Arial" w:cs="Arial"/>
                <w:b/>
                <w:sz w:val="24"/>
                <w:szCs w:val="24"/>
              </w:rPr>
            </w:pPr>
          </w:p>
        </w:tc>
      </w:tr>
      <w:tr w:rsidR="009510E6" w:rsidRPr="00777EE4" w:rsidTr="00384A0E">
        <w:tc>
          <w:tcPr>
            <w:tcW w:w="3029" w:type="dxa"/>
          </w:tcPr>
          <w:p w:rsidR="009510E6" w:rsidRPr="00777EE4" w:rsidRDefault="009510E6" w:rsidP="0061699A">
            <w:pPr>
              <w:jc w:val="both"/>
              <w:rPr>
                <w:rFonts w:ascii="Arial" w:hAnsi="Arial" w:cs="Arial"/>
                <w:sz w:val="24"/>
                <w:szCs w:val="24"/>
              </w:rPr>
            </w:pPr>
            <w:r w:rsidRPr="00777EE4">
              <w:rPr>
                <w:rFonts w:ascii="Arial" w:hAnsi="Arial" w:cs="Arial"/>
                <w:sz w:val="24"/>
                <w:szCs w:val="24"/>
              </w:rPr>
              <w:t>Elaboración de Guías sobre Medidas para la Conservación y Eficiencia Energética</w:t>
            </w:r>
          </w:p>
        </w:tc>
        <w:tc>
          <w:tcPr>
            <w:tcW w:w="6321" w:type="dxa"/>
          </w:tcPr>
          <w:p w:rsidR="009510E6" w:rsidRDefault="009510E6" w:rsidP="0061699A">
            <w:pPr>
              <w:jc w:val="both"/>
              <w:rPr>
                <w:rFonts w:ascii="Arial" w:hAnsi="Arial" w:cs="Arial"/>
                <w:sz w:val="24"/>
                <w:szCs w:val="24"/>
              </w:rPr>
            </w:pPr>
            <w:r w:rsidRPr="00777EE4">
              <w:rPr>
                <w:rFonts w:ascii="Arial" w:hAnsi="Arial" w:cs="Arial"/>
                <w:sz w:val="24"/>
                <w:szCs w:val="24"/>
              </w:rPr>
              <w:t>La política pública de conservación energética, esbozada en la Ley 57-2014, requiere que todas las agencias y corporaciones públicas de la Rama Ejecutiva, todas las dependencias de la Rama Legislativa y Judicial del ELA, y los municipios, ejecuten medidas de conservación energética para cumplir con umbrales de ahorro energéticos, al igual que penalidades por su incumplimiento.  Esta Guía sirve como instrumento de asistencia técnica y a su vez, facilitar los esfuerzos de cada una de las dependencias de las tres ramas del ELA para reducir sus costos del servicio eléctrico.</w:t>
            </w:r>
            <w:r w:rsidR="005B0D67">
              <w:rPr>
                <w:rFonts w:ascii="Arial" w:hAnsi="Arial" w:cs="Arial"/>
                <w:sz w:val="24"/>
                <w:szCs w:val="24"/>
              </w:rPr>
              <w:t xml:space="preserve">  Para el año fiscal 2015 se logró una reducción de casi 5% en el consumo de energía eléctrica del componente gubernamental.</w:t>
            </w:r>
          </w:p>
          <w:p w:rsidR="009510E6" w:rsidRPr="00777EE4" w:rsidRDefault="009510E6" w:rsidP="0061699A">
            <w:pPr>
              <w:jc w:val="both"/>
              <w:rPr>
                <w:rFonts w:ascii="Arial" w:hAnsi="Arial" w:cs="Arial"/>
                <w:b/>
                <w:sz w:val="24"/>
                <w:szCs w:val="24"/>
              </w:rPr>
            </w:pPr>
          </w:p>
        </w:tc>
      </w:tr>
      <w:tr w:rsidR="009510E6" w:rsidRPr="00777EE4" w:rsidTr="00384A0E">
        <w:tc>
          <w:tcPr>
            <w:tcW w:w="3029" w:type="dxa"/>
          </w:tcPr>
          <w:p w:rsidR="009510E6" w:rsidRPr="00777EE4" w:rsidRDefault="009510E6" w:rsidP="0061699A">
            <w:pPr>
              <w:jc w:val="both"/>
              <w:rPr>
                <w:rFonts w:ascii="Arial" w:hAnsi="Arial" w:cs="Arial"/>
                <w:sz w:val="24"/>
                <w:szCs w:val="24"/>
              </w:rPr>
            </w:pPr>
            <w:r w:rsidRPr="00777EE4">
              <w:rPr>
                <w:rFonts w:ascii="Arial" w:hAnsi="Arial" w:cs="Arial"/>
                <w:sz w:val="24"/>
                <w:szCs w:val="24"/>
              </w:rPr>
              <w:lastRenderedPageBreak/>
              <w:t>Acuerdo con la Universidad de Puerto Rico (UPR)- Recinto de  Mayagüez</w:t>
            </w:r>
          </w:p>
        </w:tc>
        <w:tc>
          <w:tcPr>
            <w:tcW w:w="6321" w:type="dxa"/>
          </w:tcPr>
          <w:p w:rsidR="009510E6" w:rsidRPr="00D17569" w:rsidRDefault="009510E6" w:rsidP="0061699A">
            <w:pPr>
              <w:jc w:val="both"/>
              <w:rPr>
                <w:rFonts w:ascii="Arial" w:hAnsi="Arial" w:cs="Arial"/>
                <w:sz w:val="24"/>
                <w:szCs w:val="24"/>
              </w:rPr>
            </w:pPr>
            <w:r w:rsidRPr="00D17569">
              <w:rPr>
                <w:rFonts w:ascii="Arial" w:hAnsi="Arial" w:cs="Arial"/>
                <w:sz w:val="24"/>
                <w:szCs w:val="24"/>
              </w:rPr>
              <w:t>Se logró un acuerdo con la UPR- Recinto de Mayagüez respecto a una deuda por contratos suscritos entre el RUM y la OEPPE que ascendían los $514,151.95.  Se llegó a un acuerdo por $329,758.14 de fondos federales disponibles que ya habían sido asignados a estos proyectos, lo que representa un ahorro de alrededor de $200,000 para la agencia.</w:t>
            </w:r>
          </w:p>
          <w:p w:rsidR="009510E6" w:rsidRPr="00777EE4" w:rsidRDefault="009510E6" w:rsidP="0061699A">
            <w:pPr>
              <w:jc w:val="both"/>
              <w:rPr>
                <w:rFonts w:ascii="Arial" w:hAnsi="Arial" w:cs="Arial"/>
                <w:sz w:val="24"/>
                <w:szCs w:val="24"/>
              </w:rPr>
            </w:pPr>
          </w:p>
        </w:tc>
      </w:tr>
      <w:tr w:rsidR="009510E6" w:rsidRPr="00777EE4" w:rsidTr="00384A0E">
        <w:tc>
          <w:tcPr>
            <w:tcW w:w="3029" w:type="dxa"/>
          </w:tcPr>
          <w:p w:rsidR="009510E6" w:rsidRPr="00777EE4" w:rsidRDefault="005B0D67" w:rsidP="0061699A">
            <w:pPr>
              <w:jc w:val="both"/>
              <w:rPr>
                <w:rFonts w:ascii="Arial" w:hAnsi="Arial" w:cs="Arial"/>
                <w:sz w:val="24"/>
                <w:szCs w:val="24"/>
              </w:rPr>
            </w:pPr>
            <w:r>
              <w:rPr>
                <w:rFonts w:ascii="Arial" w:hAnsi="Arial" w:cs="Arial"/>
                <w:sz w:val="24"/>
                <w:szCs w:val="24"/>
              </w:rPr>
              <w:t xml:space="preserve">Inversión en eficiencia energética gubernamental y </w:t>
            </w:r>
            <w:r w:rsidR="00D17569">
              <w:rPr>
                <w:rFonts w:ascii="Arial" w:hAnsi="Arial" w:cs="Arial"/>
                <w:sz w:val="24"/>
                <w:szCs w:val="24"/>
              </w:rPr>
              <w:t xml:space="preserve">diversificación de la </w:t>
            </w:r>
            <w:r>
              <w:rPr>
                <w:rFonts w:ascii="Arial" w:hAnsi="Arial" w:cs="Arial"/>
                <w:sz w:val="24"/>
                <w:szCs w:val="24"/>
              </w:rPr>
              <w:t>transportación</w:t>
            </w:r>
          </w:p>
        </w:tc>
        <w:tc>
          <w:tcPr>
            <w:tcW w:w="6321" w:type="dxa"/>
          </w:tcPr>
          <w:p w:rsidR="00D17569" w:rsidRPr="00777EE4" w:rsidRDefault="00D17569" w:rsidP="00D17569">
            <w:pPr>
              <w:jc w:val="both"/>
              <w:rPr>
                <w:rFonts w:ascii="Arial" w:hAnsi="Arial" w:cs="Arial"/>
                <w:sz w:val="24"/>
                <w:szCs w:val="24"/>
              </w:rPr>
            </w:pPr>
            <w:r>
              <w:rPr>
                <w:rFonts w:ascii="Arial" w:hAnsi="Arial" w:cs="Arial"/>
                <w:sz w:val="24"/>
                <w:szCs w:val="24"/>
              </w:rPr>
              <w:t>Entre el 2013 y el 2016, l</w:t>
            </w:r>
            <w:r w:rsidR="005B0D67">
              <w:rPr>
                <w:rFonts w:ascii="Arial" w:hAnsi="Arial" w:cs="Arial"/>
                <w:sz w:val="24"/>
                <w:szCs w:val="24"/>
              </w:rPr>
              <w:t xml:space="preserve">a OEPPE ha invertido casi $1 millón en </w:t>
            </w:r>
            <w:r>
              <w:rPr>
                <w:rFonts w:ascii="Arial" w:hAnsi="Arial" w:cs="Arial"/>
                <w:sz w:val="24"/>
                <w:szCs w:val="24"/>
              </w:rPr>
              <w:t>iniciativas</w:t>
            </w:r>
            <w:r w:rsidR="005B0D67">
              <w:rPr>
                <w:rFonts w:ascii="Arial" w:hAnsi="Arial" w:cs="Arial"/>
                <w:sz w:val="24"/>
                <w:szCs w:val="24"/>
              </w:rPr>
              <w:t xml:space="preserve"> de </w:t>
            </w:r>
            <w:r>
              <w:rPr>
                <w:rFonts w:ascii="Arial" w:hAnsi="Arial" w:cs="Arial"/>
                <w:sz w:val="24"/>
                <w:szCs w:val="24"/>
              </w:rPr>
              <w:t>reducción</w:t>
            </w:r>
            <w:r w:rsidR="005B0D67">
              <w:rPr>
                <w:rFonts w:ascii="Arial" w:hAnsi="Arial" w:cs="Arial"/>
                <w:sz w:val="24"/>
                <w:szCs w:val="24"/>
              </w:rPr>
              <w:t xml:space="preserve"> en</w:t>
            </w:r>
            <w:r>
              <w:rPr>
                <w:rFonts w:ascii="Arial" w:hAnsi="Arial" w:cs="Arial"/>
                <w:sz w:val="24"/>
                <w:szCs w:val="24"/>
              </w:rPr>
              <w:t xml:space="preserve"> consumo de energía eléctrica en el gobierno y en la creación de una red de recarga para carros eléctricos.  Esta inversión incluye haber dejado listos (“</w:t>
            </w:r>
            <w:r w:rsidRPr="00D17569">
              <w:rPr>
                <w:rFonts w:ascii="Arial" w:hAnsi="Arial" w:cs="Arial"/>
                <w:i/>
                <w:sz w:val="24"/>
                <w:szCs w:val="24"/>
              </w:rPr>
              <w:t>shovel ready</w:t>
            </w:r>
            <w:r>
              <w:rPr>
                <w:rFonts w:ascii="Arial" w:hAnsi="Arial" w:cs="Arial"/>
                <w:sz w:val="24"/>
                <w:szCs w:val="24"/>
              </w:rPr>
              <w:t>”) proyectos con un potencial de inversión de casi $200 millones y $20 millones anuales en ahorros adicionales.</w:t>
            </w:r>
          </w:p>
          <w:p w:rsidR="005B0D67" w:rsidRPr="00777EE4" w:rsidRDefault="005B0D67" w:rsidP="0061699A">
            <w:pPr>
              <w:jc w:val="both"/>
              <w:rPr>
                <w:rFonts w:ascii="Arial" w:hAnsi="Arial" w:cs="Arial"/>
                <w:sz w:val="24"/>
                <w:szCs w:val="24"/>
              </w:rPr>
            </w:pPr>
          </w:p>
        </w:tc>
      </w:tr>
      <w:tr w:rsidR="000723DA" w:rsidRPr="00777EE4" w:rsidTr="00384A0E">
        <w:tc>
          <w:tcPr>
            <w:tcW w:w="3029" w:type="dxa"/>
          </w:tcPr>
          <w:p w:rsidR="000723DA" w:rsidRPr="00777EE4" w:rsidRDefault="000723DA" w:rsidP="000723DA">
            <w:pPr>
              <w:jc w:val="both"/>
              <w:rPr>
                <w:rFonts w:ascii="Arial" w:hAnsi="Arial" w:cs="Arial"/>
                <w:sz w:val="24"/>
                <w:szCs w:val="24"/>
              </w:rPr>
            </w:pPr>
            <w:r w:rsidRPr="00777EE4">
              <w:rPr>
                <w:rFonts w:ascii="Arial" w:hAnsi="Arial" w:cs="Arial"/>
                <w:sz w:val="24"/>
                <w:szCs w:val="24"/>
              </w:rPr>
              <w:t>Inventario y decomiso de equipos OEPPE</w:t>
            </w:r>
          </w:p>
        </w:tc>
        <w:tc>
          <w:tcPr>
            <w:tcW w:w="6321" w:type="dxa"/>
          </w:tcPr>
          <w:p w:rsidR="000723DA" w:rsidRDefault="000723DA" w:rsidP="00777EE4">
            <w:pPr>
              <w:jc w:val="both"/>
              <w:rPr>
                <w:rFonts w:ascii="Arial" w:hAnsi="Arial" w:cs="Arial"/>
                <w:sz w:val="24"/>
                <w:szCs w:val="24"/>
              </w:rPr>
            </w:pPr>
            <w:r w:rsidRPr="00777EE4">
              <w:rPr>
                <w:rFonts w:ascii="Arial" w:hAnsi="Arial" w:cs="Arial"/>
                <w:sz w:val="24"/>
                <w:szCs w:val="24"/>
              </w:rPr>
              <w:t>Por los pasados años la Administración de Asuntos Energéticos no había realizado inventario ni decomiso de sus equipo</w:t>
            </w:r>
            <w:r w:rsidR="00777EE4" w:rsidRPr="00777EE4">
              <w:rPr>
                <w:rFonts w:ascii="Arial" w:hAnsi="Arial" w:cs="Arial"/>
                <w:sz w:val="24"/>
                <w:szCs w:val="24"/>
              </w:rPr>
              <w:t>s</w:t>
            </w:r>
            <w:r w:rsidRPr="00777EE4">
              <w:rPr>
                <w:rFonts w:ascii="Arial" w:hAnsi="Arial" w:cs="Arial"/>
                <w:sz w:val="24"/>
                <w:szCs w:val="24"/>
              </w:rPr>
              <w:t xml:space="preserve"> inservibles o no utilizados, reteniendo el mismo en el almacén de sus facilidades.  La OEPPE se dio a la tarea, en aras de cumplir con lo establecido en las disposiciones del manejo adecuado de la Propiedad, de realizar el mismo.  Dicho decomiso fue concretado el 13 de septiembre de 2016, logrando reciclar 225 lbs. de equipo electrónico y 1,815 lbs. de equipo mixto.</w:t>
            </w:r>
          </w:p>
          <w:p w:rsidR="00777EE4" w:rsidRPr="00777EE4" w:rsidRDefault="00777EE4" w:rsidP="00777EE4">
            <w:pPr>
              <w:jc w:val="both"/>
              <w:rPr>
                <w:rFonts w:ascii="Arial" w:hAnsi="Arial" w:cs="Arial"/>
                <w:sz w:val="24"/>
                <w:szCs w:val="24"/>
              </w:rPr>
            </w:pPr>
          </w:p>
        </w:tc>
      </w:tr>
      <w:tr w:rsidR="00E8680A" w:rsidRPr="00777EE4" w:rsidTr="00384A0E">
        <w:tc>
          <w:tcPr>
            <w:tcW w:w="3029" w:type="dxa"/>
          </w:tcPr>
          <w:p w:rsidR="00E8680A" w:rsidRPr="00777EE4" w:rsidRDefault="00E8680A" w:rsidP="000723DA">
            <w:pPr>
              <w:jc w:val="both"/>
              <w:rPr>
                <w:rFonts w:ascii="Arial" w:hAnsi="Arial" w:cs="Arial"/>
                <w:sz w:val="24"/>
                <w:szCs w:val="24"/>
              </w:rPr>
            </w:pPr>
            <w:r w:rsidRPr="00777EE4">
              <w:rPr>
                <w:rFonts w:ascii="Arial" w:hAnsi="Arial" w:cs="Arial"/>
                <w:sz w:val="24"/>
                <w:szCs w:val="24"/>
              </w:rPr>
              <w:t>Mantenimiento de incentivos del Fondo de Energía Verde a pesar de reducción presupuestaria</w:t>
            </w:r>
          </w:p>
        </w:tc>
        <w:tc>
          <w:tcPr>
            <w:tcW w:w="6321" w:type="dxa"/>
          </w:tcPr>
          <w:p w:rsidR="00E8680A" w:rsidRDefault="00E8680A" w:rsidP="000723DA">
            <w:pPr>
              <w:jc w:val="both"/>
              <w:rPr>
                <w:rFonts w:ascii="Arial" w:hAnsi="Arial" w:cs="Arial"/>
                <w:sz w:val="24"/>
                <w:szCs w:val="24"/>
              </w:rPr>
            </w:pPr>
            <w:r w:rsidRPr="00777EE4">
              <w:rPr>
                <w:rFonts w:ascii="Arial" w:hAnsi="Arial" w:cs="Arial"/>
                <w:sz w:val="24"/>
                <w:szCs w:val="24"/>
              </w:rPr>
              <w:t>Del año fiscal 2013-2014 al 2014-2015 hubo una reducción de un 40% en el presupuesto anual del Fondo ($25 a $15 millones anuales).  A pesar de esto, la reducción en el número de solicitudes procesadas se redujo en un 33% y en las solicitudes aprobadas en un 27%.  Para el año fiscal 2015-2016, con el mismo presupuesto de $15 millones, logramos minimizar esa reducción a solo un 11% de menos solicitudes procesadas y solo un 7% de menos solicitudes aprobadas, en comparación con el fiscal 2013-2014.</w:t>
            </w:r>
          </w:p>
          <w:p w:rsidR="00777EE4" w:rsidRPr="00777EE4" w:rsidRDefault="00777EE4" w:rsidP="000723DA">
            <w:pPr>
              <w:jc w:val="both"/>
              <w:rPr>
                <w:rFonts w:ascii="Arial" w:hAnsi="Arial" w:cs="Arial"/>
                <w:sz w:val="24"/>
                <w:szCs w:val="24"/>
              </w:rPr>
            </w:pPr>
          </w:p>
        </w:tc>
      </w:tr>
      <w:tr w:rsidR="00D17569" w:rsidRPr="00777EE4" w:rsidTr="00384A0E">
        <w:tc>
          <w:tcPr>
            <w:tcW w:w="3029" w:type="dxa"/>
          </w:tcPr>
          <w:p w:rsidR="00D17569" w:rsidRPr="00777EE4" w:rsidRDefault="00D17569" w:rsidP="000723DA">
            <w:pPr>
              <w:jc w:val="both"/>
              <w:rPr>
                <w:rFonts w:ascii="Arial" w:hAnsi="Arial" w:cs="Arial"/>
                <w:sz w:val="24"/>
                <w:szCs w:val="24"/>
              </w:rPr>
            </w:pPr>
            <w:r>
              <w:rPr>
                <w:rFonts w:ascii="Arial" w:hAnsi="Arial" w:cs="Arial"/>
                <w:sz w:val="24"/>
                <w:szCs w:val="24"/>
              </w:rPr>
              <w:t>Inversión en reducción de consumo eléctrico en hogares de bajos ingresos</w:t>
            </w:r>
          </w:p>
        </w:tc>
        <w:tc>
          <w:tcPr>
            <w:tcW w:w="6321" w:type="dxa"/>
          </w:tcPr>
          <w:p w:rsidR="00D17569" w:rsidRDefault="00D17569" w:rsidP="000723DA">
            <w:pPr>
              <w:jc w:val="both"/>
              <w:rPr>
                <w:rFonts w:ascii="Arial" w:hAnsi="Arial" w:cs="Arial"/>
                <w:sz w:val="24"/>
                <w:szCs w:val="24"/>
              </w:rPr>
            </w:pPr>
            <w:r>
              <w:rPr>
                <w:rFonts w:ascii="Arial" w:hAnsi="Arial" w:cs="Arial"/>
                <w:sz w:val="24"/>
                <w:szCs w:val="24"/>
              </w:rPr>
              <w:t>A través del Programa de Climatización de hogares, para el 31 de diciembre de 2016, la OEPPE habrá impactado más de 1,000 hogares de bajos ingresos con medidas para reducir su consumo, que incluyen el reemplazo de enseres, iluminación y arreglos al sistema eléctrico.</w:t>
            </w:r>
          </w:p>
          <w:p w:rsidR="00D17569" w:rsidRPr="00777EE4" w:rsidRDefault="00D17569" w:rsidP="000723DA">
            <w:pPr>
              <w:jc w:val="both"/>
              <w:rPr>
                <w:rFonts w:ascii="Arial" w:hAnsi="Arial" w:cs="Arial"/>
                <w:sz w:val="24"/>
                <w:szCs w:val="24"/>
              </w:rPr>
            </w:pPr>
          </w:p>
        </w:tc>
      </w:tr>
    </w:tbl>
    <w:p w:rsidR="009510E6" w:rsidRDefault="009510E6">
      <w:bookmarkStart w:id="0" w:name="_GoBack"/>
      <w:bookmarkEnd w:id="0"/>
    </w:p>
    <w:sectPr w:rsidR="009510E6" w:rsidSect="00F873E2">
      <w:headerReference w:type="default" r:id="rId16"/>
      <w:footerReference w:type="default" r:id="rId17"/>
      <w:pgSz w:w="12240" w:h="15840"/>
      <w:pgMar w:top="990" w:right="1440" w:bottom="1440" w:left="1440" w:header="720" w:footer="2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BD5" w:rsidRDefault="006C3BD5" w:rsidP="00D20B72">
      <w:pPr>
        <w:spacing w:after="0" w:line="240" w:lineRule="auto"/>
      </w:pPr>
      <w:r>
        <w:separator/>
      </w:r>
    </w:p>
  </w:endnote>
  <w:endnote w:type="continuationSeparator" w:id="0">
    <w:p w:rsidR="006C3BD5" w:rsidRDefault="006C3BD5" w:rsidP="00D20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224138"/>
      <w:docPartObj>
        <w:docPartGallery w:val="Page Numbers (Bottom of Page)"/>
        <w:docPartUnique/>
      </w:docPartObj>
    </w:sdtPr>
    <w:sdtEndPr/>
    <w:sdtContent>
      <w:sdt>
        <w:sdtPr>
          <w:id w:val="-2084211768"/>
          <w:docPartObj>
            <w:docPartGallery w:val="Page Numbers (Top of Page)"/>
            <w:docPartUnique/>
          </w:docPartObj>
        </w:sdtPr>
        <w:sdtEndPr/>
        <w:sdtContent>
          <w:p w:rsidR="0061699A" w:rsidRDefault="0061699A" w:rsidP="00B276E0">
            <w:pPr>
              <w:pStyle w:val="Header"/>
              <w:tabs>
                <w:tab w:val="left" w:pos="5760"/>
                <w:tab w:val="right" w:pos="13410"/>
              </w:tabs>
              <w:ind w:left="-540"/>
            </w:pPr>
            <w:r>
              <w:tab/>
            </w:r>
            <w:r>
              <w:tab/>
            </w:r>
            <w:r>
              <w:tab/>
            </w:r>
            <w:r>
              <w:tab/>
            </w:r>
          </w:p>
          <w:p w:rsidR="0061699A" w:rsidRPr="00D20B72" w:rsidRDefault="0061699A" w:rsidP="00D20B72">
            <w:pPr>
              <w:pStyle w:val="Header"/>
              <w:ind w:left="-540"/>
              <w:jc w:val="right"/>
              <w:rPr>
                <w:b/>
              </w:rPr>
            </w:pPr>
            <w:r w:rsidRPr="00D20B72">
              <w:rPr>
                <w:b/>
              </w:rPr>
              <w:t xml:space="preserve">INFORME DE </w:t>
            </w:r>
            <w:r>
              <w:rPr>
                <w:b/>
              </w:rPr>
              <w:t>ESTATUS Y PLANES</w:t>
            </w:r>
          </w:p>
          <w:p w:rsidR="0061699A" w:rsidRPr="00D20B72" w:rsidRDefault="0061699A" w:rsidP="00D20B72">
            <w:pPr>
              <w:pStyle w:val="Header"/>
              <w:ind w:left="-540"/>
              <w:jc w:val="right"/>
            </w:pPr>
            <w:r>
              <w:t>Oficina Estatal de Política Pública Energética (OEPPE)</w:t>
            </w:r>
          </w:p>
          <w:p w:rsidR="0061699A" w:rsidRDefault="0061699A">
            <w:pPr>
              <w:pStyle w:val="Footer"/>
              <w:jc w:val="right"/>
              <w:rPr>
                <w:b/>
                <w:bCs/>
                <w:sz w:val="24"/>
                <w:szCs w:val="24"/>
              </w:rPr>
            </w:pPr>
            <w:r>
              <w:t xml:space="preserve">Página </w:t>
            </w:r>
            <w:r>
              <w:rPr>
                <w:b/>
                <w:bCs/>
                <w:sz w:val="24"/>
                <w:szCs w:val="24"/>
              </w:rPr>
              <w:fldChar w:fldCharType="begin"/>
            </w:r>
            <w:r>
              <w:rPr>
                <w:b/>
                <w:bCs/>
              </w:rPr>
              <w:instrText xml:space="preserve"> PAGE </w:instrText>
            </w:r>
            <w:r>
              <w:rPr>
                <w:b/>
                <w:bCs/>
                <w:sz w:val="24"/>
                <w:szCs w:val="24"/>
              </w:rPr>
              <w:fldChar w:fldCharType="separate"/>
            </w:r>
            <w:r w:rsidR="00BE1E95">
              <w:rPr>
                <w:b/>
                <w:bCs/>
                <w:noProof/>
              </w:rPr>
              <w:t>2</w:t>
            </w:r>
            <w:r>
              <w:rPr>
                <w:b/>
                <w:bCs/>
                <w:sz w:val="24"/>
                <w:szCs w:val="24"/>
              </w:rPr>
              <w:fldChar w:fldCharType="end"/>
            </w:r>
            <w:r>
              <w:t xml:space="preserve"> de </w:t>
            </w:r>
            <w:r>
              <w:rPr>
                <w:b/>
                <w:bCs/>
                <w:sz w:val="24"/>
                <w:szCs w:val="24"/>
              </w:rPr>
              <w:fldChar w:fldCharType="begin"/>
            </w:r>
            <w:r>
              <w:rPr>
                <w:b/>
                <w:bCs/>
              </w:rPr>
              <w:instrText xml:space="preserve"> NUMPAGES  </w:instrText>
            </w:r>
            <w:r>
              <w:rPr>
                <w:b/>
                <w:bCs/>
                <w:sz w:val="24"/>
                <w:szCs w:val="24"/>
              </w:rPr>
              <w:fldChar w:fldCharType="separate"/>
            </w:r>
            <w:r w:rsidR="00BE1E95">
              <w:rPr>
                <w:b/>
                <w:bCs/>
                <w:noProof/>
              </w:rPr>
              <w:t>5</w:t>
            </w:r>
            <w:r>
              <w:rPr>
                <w:b/>
                <w:bCs/>
                <w:sz w:val="24"/>
                <w:szCs w:val="24"/>
              </w:rPr>
              <w:fldChar w:fldCharType="end"/>
            </w:r>
          </w:p>
          <w:p w:rsidR="0061699A" w:rsidRDefault="006C3BD5">
            <w:pPr>
              <w:pStyle w:val="Footer"/>
              <w:jc w:val="right"/>
            </w:pPr>
          </w:p>
        </w:sdtContent>
      </w:sdt>
    </w:sdtContent>
  </w:sdt>
  <w:p w:rsidR="0061699A" w:rsidRDefault="006169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99A" w:rsidRPr="00841B19" w:rsidRDefault="0061699A" w:rsidP="005E0E60">
    <w:pPr>
      <w:pStyle w:val="Footer"/>
      <w:rPr>
        <w:sz w:val="18"/>
        <w:szCs w:val="18"/>
      </w:rPr>
    </w:pPr>
    <w:r w:rsidRPr="00841B19">
      <w:rPr>
        <w:sz w:val="18"/>
        <w:szCs w:val="18"/>
      </w:rPr>
      <w:t xml:space="preserve">Nota (1): El State Energy Plan  bajo el State Energy Program sería la base </w:t>
    </w:r>
    <w:r>
      <w:rPr>
        <w:sz w:val="18"/>
        <w:szCs w:val="18"/>
      </w:rPr>
      <w:t xml:space="preserve"> </w:t>
    </w:r>
    <w:r w:rsidRPr="00841B19">
      <w:rPr>
        <w:sz w:val="18"/>
        <w:szCs w:val="18"/>
      </w:rPr>
      <w:t xml:space="preserve">o “zapata” en la nueva estructura de la OEPPE debido a que sería el Plan </w:t>
    </w:r>
    <w:r>
      <w:rPr>
        <w:sz w:val="18"/>
        <w:szCs w:val="18"/>
      </w:rPr>
      <w:t>sobre asuntos de</w:t>
    </w:r>
    <w:r w:rsidRPr="00841B19">
      <w:rPr>
        <w:sz w:val="18"/>
        <w:szCs w:val="18"/>
      </w:rPr>
      <w:t xml:space="preserve"> Energía</w:t>
    </w:r>
    <w:r>
      <w:rPr>
        <w:sz w:val="18"/>
        <w:szCs w:val="18"/>
      </w:rPr>
      <w:t xml:space="preserve"> del país</w:t>
    </w:r>
    <w:r w:rsidRPr="00841B19">
      <w:rPr>
        <w:sz w:val="18"/>
        <w:szCs w:val="18"/>
      </w:rPr>
      <w:t>.</w:t>
    </w:r>
  </w:p>
  <w:p w:rsidR="0061699A" w:rsidRPr="00841B19" w:rsidRDefault="0061699A" w:rsidP="005E0E60">
    <w:pPr>
      <w:pStyle w:val="Footer"/>
      <w:rPr>
        <w:sz w:val="18"/>
        <w:szCs w:val="18"/>
      </w:rPr>
    </w:pPr>
    <w:r w:rsidRPr="00841B19">
      <w:rPr>
        <w:sz w:val="18"/>
        <w:szCs w:val="18"/>
      </w:rPr>
      <w:t>Nota (2): En el Área de Análisis Eléctrico (Servicio Eléctrico) es probable  que se designe un empleado por contratación.</w:t>
    </w:r>
  </w:p>
  <w:p w:rsidR="0061699A" w:rsidRPr="00841B19" w:rsidRDefault="0061699A" w:rsidP="005E0E60">
    <w:pPr>
      <w:pStyle w:val="Footer"/>
      <w:rPr>
        <w:sz w:val="18"/>
        <w:szCs w:val="18"/>
      </w:rPr>
    </w:pPr>
    <w:r w:rsidRPr="00841B19">
      <w:rPr>
        <w:sz w:val="18"/>
        <w:szCs w:val="18"/>
      </w:rPr>
      <w:t>Nota (3): Se sugiere que la División Legal se incluya bajo la estructura de la Administración de Energía.</w:t>
    </w:r>
  </w:p>
  <w:p w:rsidR="0061699A" w:rsidRPr="00841B19" w:rsidRDefault="0061699A" w:rsidP="005E0E60">
    <w:pPr>
      <w:pStyle w:val="Footer"/>
      <w:rPr>
        <w:sz w:val="18"/>
        <w:szCs w:val="18"/>
      </w:rPr>
    </w:pPr>
    <w:r w:rsidRPr="00841B19">
      <w:rPr>
        <w:sz w:val="18"/>
        <w:szCs w:val="18"/>
      </w:rPr>
      <w:t>Nota (4): La Administración de Energía se encargaría de desarrollar los Planes de Reclasificación y Retribución.</w:t>
    </w:r>
  </w:p>
  <w:p w:rsidR="0061699A" w:rsidRDefault="0061699A">
    <w:pPr>
      <w:pStyle w:val="Footer"/>
      <w:rPr>
        <w:sz w:val="18"/>
        <w:szCs w:val="18"/>
      </w:rPr>
    </w:pPr>
    <w:r w:rsidRPr="00841B19">
      <w:rPr>
        <w:sz w:val="18"/>
        <w:szCs w:val="18"/>
      </w:rPr>
      <w:t xml:space="preserve">Nota (5): Las funciones de un Subdirector </w:t>
    </w:r>
    <w:r>
      <w:rPr>
        <w:sz w:val="18"/>
        <w:szCs w:val="18"/>
      </w:rPr>
      <w:t>están</w:t>
    </w:r>
    <w:r w:rsidRPr="00841B19">
      <w:rPr>
        <w:sz w:val="18"/>
        <w:szCs w:val="18"/>
      </w:rPr>
      <w:t xml:space="preserve"> más dirigidas a crear el espacio para que el Director Ejecutivo pueda enfocarse en la política pública, </w:t>
    </w:r>
  </w:p>
  <w:p w:rsidR="0061699A" w:rsidRDefault="0061699A">
    <w:pPr>
      <w:pStyle w:val="Footer"/>
    </w:pPr>
    <w:r>
      <w:rPr>
        <w:sz w:val="18"/>
        <w:szCs w:val="18"/>
      </w:rPr>
      <w:tab/>
      <w:t xml:space="preserve">          </w:t>
    </w:r>
    <w:r w:rsidRPr="00841B19">
      <w:rPr>
        <w:sz w:val="18"/>
        <w:szCs w:val="18"/>
      </w:rPr>
      <w:t xml:space="preserve">mientras que el Administrador realiza funciones  más específicas, como por ejemplo: los “contracts management”.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479329"/>
      <w:docPartObj>
        <w:docPartGallery w:val="Page Numbers (Bottom of Page)"/>
        <w:docPartUnique/>
      </w:docPartObj>
    </w:sdtPr>
    <w:sdtEndPr/>
    <w:sdtContent>
      <w:sdt>
        <w:sdtPr>
          <w:id w:val="444116740"/>
          <w:docPartObj>
            <w:docPartGallery w:val="Page Numbers (Top of Page)"/>
            <w:docPartUnique/>
          </w:docPartObj>
        </w:sdtPr>
        <w:sdtEndPr/>
        <w:sdtContent>
          <w:p w:rsidR="004604A0" w:rsidRDefault="004604A0" w:rsidP="004604A0">
            <w:pPr>
              <w:pStyle w:val="Header"/>
              <w:tabs>
                <w:tab w:val="left" w:pos="5760"/>
                <w:tab w:val="right" w:pos="13410"/>
              </w:tabs>
              <w:ind w:left="-540"/>
            </w:pPr>
            <w:r>
              <w:tab/>
            </w:r>
            <w:r>
              <w:tab/>
            </w:r>
            <w:r>
              <w:tab/>
            </w:r>
            <w:r>
              <w:tab/>
            </w:r>
          </w:p>
          <w:p w:rsidR="004604A0" w:rsidRPr="00D20B72" w:rsidRDefault="004604A0" w:rsidP="004604A0">
            <w:pPr>
              <w:pStyle w:val="Header"/>
              <w:ind w:left="-540"/>
              <w:jc w:val="right"/>
              <w:rPr>
                <w:b/>
              </w:rPr>
            </w:pPr>
            <w:r w:rsidRPr="00D20B72">
              <w:rPr>
                <w:b/>
              </w:rPr>
              <w:t xml:space="preserve">INFORME DE </w:t>
            </w:r>
            <w:r>
              <w:rPr>
                <w:b/>
              </w:rPr>
              <w:t>ESTATUS Y PLANES</w:t>
            </w:r>
          </w:p>
          <w:p w:rsidR="004604A0" w:rsidRPr="00D20B72" w:rsidRDefault="004604A0" w:rsidP="004604A0">
            <w:pPr>
              <w:pStyle w:val="Header"/>
              <w:ind w:left="-540"/>
              <w:jc w:val="right"/>
            </w:pPr>
            <w:r>
              <w:t>Oficina Estatal de Política Pública Energética (OEPPE)</w:t>
            </w:r>
          </w:p>
          <w:p w:rsidR="004604A0" w:rsidRDefault="004604A0" w:rsidP="004604A0">
            <w:pPr>
              <w:pStyle w:val="Footer"/>
              <w:jc w:val="right"/>
              <w:rPr>
                <w:b/>
                <w:bCs/>
                <w:sz w:val="24"/>
                <w:szCs w:val="24"/>
              </w:rPr>
            </w:pPr>
            <w:r>
              <w:t xml:space="preserve">Página </w:t>
            </w:r>
            <w:r>
              <w:rPr>
                <w:b/>
                <w:bCs/>
                <w:sz w:val="24"/>
                <w:szCs w:val="24"/>
              </w:rPr>
              <w:fldChar w:fldCharType="begin"/>
            </w:r>
            <w:r>
              <w:rPr>
                <w:b/>
                <w:bCs/>
              </w:rPr>
              <w:instrText xml:space="preserve"> PAGE </w:instrText>
            </w:r>
            <w:r>
              <w:rPr>
                <w:b/>
                <w:bCs/>
                <w:sz w:val="24"/>
                <w:szCs w:val="24"/>
              </w:rPr>
              <w:fldChar w:fldCharType="separate"/>
            </w:r>
            <w:r w:rsidR="00BE1E95">
              <w:rPr>
                <w:b/>
                <w:bCs/>
                <w:noProof/>
              </w:rPr>
              <w:t>5</w:t>
            </w:r>
            <w:r>
              <w:rPr>
                <w:b/>
                <w:bCs/>
                <w:sz w:val="24"/>
                <w:szCs w:val="24"/>
              </w:rPr>
              <w:fldChar w:fldCharType="end"/>
            </w:r>
            <w:r>
              <w:t xml:space="preserve"> de </w:t>
            </w:r>
            <w:r>
              <w:rPr>
                <w:b/>
                <w:bCs/>
                <w:sz w:val="24"/>
                <w:szCs w:val="24"/>
              </w:rPr>
              <w:fldChar w:fldCharType="begin"/>
            </w:r>
            <w:r>
              <w:rPr>
                <w:b/>
                <w:bCs/>
              </w:rPr>
              <w:instrText xml:space="preserve"> NUMPAGES  </w:instrText>
            </w:r>
            <w:r>
              <w:rPr>
                <w:b/>
                <w:bCs/>
                <w:sz w:val="24"/>
                <w:szCs w:val="24"/>
              </w:rPr>
              <w:fldChar w:fldCharType="separate"/>
            </w:r>
            <w:r w:rsidR="00BE1E95">
              <w:rPr>
                <w:b/>
                <w:bCs/>
                <w:noProof/>
              </w:rPr>
              <w:t>5</w:t>
            </w:r>
            <w:r>
              <w:rPr>
                <w:b/>
                <w:bCs/>
                <w:sz w:val="24"/>
                <w:szCs w:val="24"/>
              </w:rPr>
              <w:fldChar w:fldCharType="end"/>
            </w:r>
          </w:p>
          <w:p w:rsidR="0061699A" w:rsidRPr="00062FEE" w:rsidRDefault="006C3BD5" w:rsidP="004604A0">
            <w:pPr>
              <w:pStyle w:val="Footer"/>
              <w:jc w:val="right"/>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BD5" w:rsidRDefault="006C3BD5" w:rsidP="00D20B72">
      <w:pPr>
        <w:spacing w:after="0" w:line="240" w:lineRule="auto"/>
      </w:pPr>
      <w:r>
        <w:separator/>
      </w:r>
    </w:p>
  </w:footnote>
  <w:footnote w:type="continuationSeparator" w:id="0">
    <w:p w:rsidR="006C3BD5" w:rsidRDefault="006C3BD5" w:rsidP="00D20B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99A" w:rsidRDefault="0061699A">
    <w:pPr>
      <w:pStyle w:val="Header"/>
    </w:pPr>
  </w:p>
  <w:p w:rsidR="0061699A" w:rsidRPr="00D20B72" w:rsidRDefault="0061699A" w:rsidP="00D20B72">
    <w:pPr>
      <w:pStyle w:val="Header"/>
      <w:ind w:left="-5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99A" w:rsidRDefault="0061699A" w:rsidP="005E0E60">
    <w:pPr>
      <w:pStyle w:val="Header"/>
    </w:pPr>
    <w:r w:rsidRPr="005F681A">
      <w:rPr>
        <w:color w:val="767171" w:themeColor="background2" w:themeShade="80"/>
      </w:rPr>
      <w:t>Áreas Funcionales/Operacionales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99A" w:rsidRPr="00EB6DC3" w:rsidRDefault="0061699A" w:rsidP="00EB6D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5C6F"/>
    <w:multiLevelType w:val="hybridMultilevel"/>
    <w:tmpl w:val="F4B6A31E"/>
    <w:lvl w:ilvl="0" w:tplc="04090005">
      <w:start w:val="1"/>
      <w:numFmt w:val="bullet"/>
      <w:lvlText w:val=""/>
      <w:lvlJc w:val="left"/>
      <w:pPr>
        <w:ind w:left="720" w:hanging="360"/>
      </w:pPr>
      <w:rPr>
        <w:rFonts w:ascii="Wingdings" w:hAnsi="Wingdings"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 w15:restartNumberingAfterBreak="0">
    <w:nsid w:val="06064BF4"/>
    <w:multiLevelType w:val="hybridMultilevel"/>
    <w:tmpl w:val="42AE92C0"/>
    <w:lvl w:ilvl="0" w:tplc="04090005">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 w15:restartNumberingAfterBreak="0">
    <w:nsid w:val="1AFC62C3"/>
    <w:multiLevelType w:val="hybridMultilevel"/>
    <w:tmpl w:val="26CE2012"/>
    <w:lvl w:ilvl="0" w:tplc="04090005">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 w15:restartNumberingAfterBreak="0">
    <w:nsid w:val="24910AE1"/>
    <w:multiLevelType w:val="hybridMultilevel"/>
    <w:tmpl w:val="27EC1064"/>
    <w:lvl w:ilvl="0" w:tplc="04090005">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4" w15:restartNumberingAfterBreak="0">
    <w:nsid w:val="2E6B7E00"/>
    <w:multiLevelType w:val="hybridMultilevel"/>
    <w:tmpl w:val="1D56D3A6"/>
    <w:lvl w:ilvl="0" w:tplc="04090005">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5" w15:restartNumberingAfterBreak="0">
    <w:nsid w:val="381B2BBD"/>
    <w:multiLevelType w:val="hybridMultilevel"/>
    <w:tmpl w:val="AA889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0E2FB7"/>
    <w:multiLevelType w:val="hybridMultilevel"/>
    <w:tmpl w:val="6FC0AA20"/>
    <w:lvl w:ilvl="0" w:tplc="F412EE6A">
      <w:start w:val="3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476E44"/>
    <w:multiLevelType w:val="hybridMultilevel"/>
    <w:tmpl w:val="D446166A"/>
    <w:lvl w:ilvl="0" w:tplc="04090005">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8" w15:restartNumberingAfterBreak="0">
    <w:nsid w:val="4A281EFE"/>
    <w:multiLevelType w:val="hybridMultilevel"/>
    <w:tmpl w:val="58C62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DF7455"/>
    <w:multiLevelType w:val="hybridMultilevel"/>
    <w:tmpl w:val="54C68C10"/>
    <w:lvl w:ilvl="0" w:tplc="04090005">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0" w15:restartNumberingAfterBreak="0">
    <w:nsid w:val="593A4FBE"/>
    <w:multiLevelType w:val="hybridMultilevel"/>
    <w:tmpl w:val="5CB86C50"/>
    <w:lvl w:ilvl="0" w:tplc="F412EE6A">
      <w:start w:val="3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B044B5"/>
    <w:multiLevelType w:val="hybridMultilevel"/>
    <w:tmpl w:val="1332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5B5A54"/>
    <w:multiLevelType w:val="hybridMultilevel"/>
    <w:tmpl w:val="8E8C0862"/>
    <w:lvl w:ilvl="0" w:tplc="500A000F">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3" w15:restartNumberingAfterBreak="0">
    <w:nsid w:val="76C07A59"/>
    <w:multiLevelType w:val="hybridMultilevel"/>
    <w:tmpl w:val="7F1CC364"/>
    <w:lvl w:ilvl="0" w:tplc="F412EE6A">
      <w:start w:val="3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66664E"/>
    <w:multiLevelType w:val="hybridMultilevel"/>
    <w:tmpl w:val="2494C1A4"/>
    <w:lvl w:ilvl="0" w:tplc="F412EE6A">
      <w:start w:val="38"/>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0"/>
  </w:num>
  <w:num w:numId="3">
    <w:abstractNumId w:val="11"/>
  </w:num>
  <w:num w:numId="4">
    <w:abstractNumId w:val="6"/>
  </w:num>
  <w:num w:numId="5">
    <w:abstractNumId w:val="5"/>
  </w:num>
  <w:num w:numId="6">
    <w:abstractNumId w:val="8"/>
  </w:num>
  <w:num w:numId="7">
    <w:abstractNumId w:val="14"/>
  </w:num>
  <w:num w:numId="8">
    <w:abstractNumId w:val="12"/>
  </w:num>
  <w:num w:numId="9">
    <w:abstractNumId w:val="1"/>
  </w:num>
  <w:num w:numId="10">
    <w:abstractNumId w:val="2"/>
  </w:num>
  <w:num w:numId="11">
    <w:abstractNumId w:val="4"/>
  </w:num>
  <w:num w:numId="12">
    <w:abstractNumId w:val="7"/>
  </w:num>
  <w:num w:numId="13">
    <w:abstractNumId w:val="3"/>
  </w:num>
  <w:num w:numId="14">
    <w:abstractNumId w:val="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AD7"/>
    <w:rsid w:val="00004AD7"/>
    <w:rsid w:val="00011DB1"/>
    <w:rsid w:val="00013EF7"/>
    <w:rsid w:val="00025157"/>
    <w:rsid w:val="00026499"/>
    <w:rsid w:val="00030CA2"/>
    <w:rsid w:val="000362AE"/>
    <w:rsid w:val="000424EF"/>
    <w:rsid w:val="0004323F"/>
    <w:rsid w:val="00056899"/>
    <w:rsid w:val="00062FEE"/>
    <w:rsid w:val="00066237"/>
    <w:rsid w:val="00066268"/>
    <w:rsid w:val="00070E4D"/>
    <w:rsid w:val="000723DA"/>
    <w:rsid w:val="00075A78"/>
    <w:rsid w:val="00077067"/>
    <w:rsid w:val="000907B2"/>
    <w:rsid w:val="00092BF6"/>
    <w:rsid w:val="000948F2"/>
    <w:rsid w:val="00096D76"/>
    <w:rsid w:val="000A1936"/>
    <w:rsid w:val="000B379B"/>
    <w:rsid w:val="000C383A"/>
    <w:rsid w:val="000D2D66"/>
    <w:rsid w:val="000E4D25"/>
    <w:rsid w:val="000E62B1"/>
    <w:rsid w:val="000E6483"/>
    <w:rsid w:val="000E7C62"/>
    <w:rsid w:val="000F0722"/>
    <w:rsid w:val="000F2E1C"/>
    <w:rsid w:val="000F5439"/>
    <w:rsid w:val="000F7BED"/>
    <w:rsid w:val="001009B8"/>
    <w:rsid w:val="00100B8E"/>
    <w:rsid w:val="00106F81"/>
    <w:rsid w:val="00107ADF"/>
    <w:rsid w:val="00117B87"/>
    <w:rsid w:val="00117C22"/>
    <w:rsid w:val="00126A62"/>
    <w:rsid w:val="00127CD2"/>
    <w:rsid w:val="00133ABD"/>
    <w:rsid w:val="0013590C"/>
    <w:rsid w:val="00137A09"/>
    <w:rsid w:val="00143666"/>
    <w:rsid w:val="00155088"/>
    <w:rsid w:val="00163394"/>
    <w:rsid w:val="0016573C"/>
    <w:rsid w:val="00173391"/>
    <w:rsid w:val="00175527"/>
    <w:rsid w:val="00175773"/>
    <w:rsid w:val="00180352"/>
    <w:rsid w:val="00186BFE"/>
    <w:rsid w:val="00190DCB"/>
    <w:rsid w:val="0019476C"/>
    <w:rsid w:val="001A6C88"/>
    <w:rsid w:val="001B0E56"/>
    <w:rsid w:val="001B5682"/>
    <w:rsid w:val="001B6B48"/>
    <w:rsid w:val="001C3CCB"/>
    <w:rsid w:val="001C42E1"/>
    <w:rsid w:val="001C4920"/>
    <w:rsid w:val="001D0712"/>
    <w:rsid w:val="001D489B"/>
    <w:rsid w:val="001E5661"/>
    <w:rsid w:val="001E6EBD"/>
    <w:rsid w:val="001F12A2"/>
    <w:rsid w:val="001F6507"/>
    <w:rsid w:val="002043EE"/>
    <w:rsid w:val="002128F9"/>
    <w:rsid w:val="0021769D"/>
    <w:rsid w:val="00222B5D"/>
    <w:rsid w:val="00226B41"/>
    <w:rsid w:val="00232A86"/>
    <w:rsid w:val="00233C65"/>
    <w:rsid w:val="00236348"/>
    <w:rsid w:val="00244173"/>
    <w:rsid w:val="00260A6B"/>
    <w:rsid w:val="00270799"/>
    <w:rsid w:val="002733C0"/>
    <w:rsid w:val="00280A01"/>
    <w:rsid w:val="00282968"/>
    <w:rsid w:val="00295F0D"/>
    <w:rsid w:val="002A2714"/>
    <w:rsid w:val="002B56CD"/>
    <w:rsid w:val="002C1B51"/>
    <w:rsid w:val="002C3722"/>
    <w:rsid w:val="002C46ED"/>
    <w:rsid w:val="002C61CB"/>
    <w:rsid w:val="002C6BD6"/>
    <w:rsid w:val="002E1818"/>
    <w:rsid w:val="002E20C5"/>
    <w:rsid w:val="002E740C"/>
    <w:rsid w:val="002F3A4B"/>
    <w:rsid w:val="002F445B"/>
    <w:rsid w:val="002F5A2D"/>
    <w:rsid w:val="002F6185"/>
    <w:rsid w:val="002F6735"/>
    <w:rsid w:val="003040AD"/>
    <w:rsid w:val="0030518A"/>
    <w:rsid w:val="00323C85"/>
    <w:rsid w:val="003259A7"/>
    <w:rsid w:val="00332913"/>
    <w:rsid w:val="00333A7A"/>
    <w:rsid w:val="0034052A"/>
    <w:rsid w:val="0034612A"/>
    <w:rsid w:val="003461EE"/>
    <w:rsid w:val="003466BA"/>
    <w:rsid w:val="00347159"/>
    <w:rsid w:val="00352046"/>
    <w:rsid w:val="00372989"/>
    <w:rsid w:val="00375480"/>
    <w:rsid w:val="00380545"/>
    <w:rsid w:val="00384A0E"/>
    <w:rsid w:val="00387D14"/>
    <w:rsid w:val="00393505"/>
    <w:rsid w:val="00394BAF"/>
    <w:rsid w:val="003A06A7"/>
    <w:rsid w:val="003A147B"/>
    <w:rsid w:val="003A1DDF"/>
    <w:rsid w:val="003B3B38"/>
    <w:rsid w:val="003B79F8"/>
    <w:rsid w:val="003D498C"/>
    <w:rsid w:val="003D55A8"/>
    <w:rsid w:val="003D69A4"/>
    <w:rsid w:val="003E0517"/>
    <w:rsid w:val="003F14FF"/>
    <w:rsid w:val="003F407A"/>
    <w:rsid w:val="003F4BC4"/>
    <w:rsid w:val="00403C2B"/>
    <w:rsid w:val="00404395"/>
    <w:rsid w:val="00405AE8"/>
    <w:rsid w:val="00406071"/>
    <w:rsid w:val="004140A4"/>
    <w:rsid w:val="00425E99"/>
    <w:rsid w:val="004273B8"/>
    <w:rsid w:val="004402CD"/>
    <w:rsid w:val="00442FAA"/>
    <w:rsid w:val="00450EF7"/>
    <w:rsid w:val="004527F8"/>
    <w:rsid w:val="004604A0"/>
    <w:rsid w:val="00461198"/>
    <w:rsid w:val="00463981"/>
    <w:rsid w:val="00467041"/>
    <w:rsid w:val="00474FD2"/>
    <w:rsid w:val="00476652"/>
    <w:rsid w:val="00484532"/>
    <w:rsid w:val="004920AE"/>
    <w:rsid w:val="00497F3A"/>
    <w:rsid w:val="004A00DE"/>
    <w:rsid w:val="004A0A5B"/>
    <w:rsid w:val="004A3799"/>
    <w:rsid w:val="004A6C30"/>
    <w:rsid w:val="004A7434"/>
    <w:rsid w:val="004B6084"/>
    <w:rsid w:val="004C0F02"/>
    <w:rsid w:val="004C767B"/>
    <w:rsid w:val="004D43CC"/>
    <w:rsid w:val="004D5C85"/>
    <w:rsid w:val="004E3B82"/>
    <w:rsid w:val="004F1CAE"/>
    <w:rsid w:val="00500BB0"/>
    <w:rsid w:val="005014AE"/>
    <w:rsid w:val="00521A14"/>
    <w:rsid w:val="00522FA9"/>
    <w:rsid w:val="00523310"/>
    <w:rsid w:val="00530097"/>
    <w:rsid w:val="00540E36"/>
    <w:rsid w:val="00542C43"/>
    <w:rsid w:val="00544470"/>
    <w:rsid w:val="0055274F"/>
    <w:rsid w:val="00553178"/>
    <w:rsid w:val="00564620"/>
    <w:rsid w:val="00564702"/>
    <w:rsid w:val="00571E0E"/>
    <w:rsid w:val="00573794"/>
    <w:rsid w:val="00573B21"/>
    <w:rsid w:val="0057771F"/>
    <w:rsid w:val="0058792C"/>
    <w:rsid w:val="0059489D"/>
    <w:rsid w:val="00597923"/>
    <w:rsid w:val="005A0379"/>
    <w:rsid w:val="005B08D1"/>
    <w:rsid w:val="005B0D67"/>
    <w:rsid w:val="005C4387"/>
    <w:rsid w:val="005C69E4"/>
    <w:rsid w:val="005E0E60"/>
    <w:rsid w:val="005E1E0F"/>
    <w:rsid w:val="005E35CF"/>
    <w:rsid w:val="005E5394"/>
    <w:rsid w:val="005F0C11"/>
    <w:rsid w:val="005F3ADD"/>
    <w:rsid w:val="005F4DC3"/>
    <w:rsid w:val="005F615C"/>
    <w:rsid w:val="005F66DA"/>
    <w:rsid w:val="005F79CD"/>
    <w:rsid w:val="005F7B9B"/>
    <w:rsid w:val="006012F4"/>
    <w:rsid w:val="00603941"/>
    <w:rsid w:val="006056FB"/>
    <w:rsid w:val="00610732"/>
    <w:rsid w:val="00614E39"/>
    <w:rsid w:val="00615426"/>
    <w:rsid w:val="0061699A"/>
    <w:rsid w:val="0062144D"/>
    <w:rsid w:val="00623D94"/>
    <w:rsid w:val="00624014"/>
    <w:rsid w:val="00627541"/>
    <w:rsid w:val="00630642"/>
    <w:rsid w:val="00632897"/>
    <w:rsid w:val="00645FF8"/>
    <w:rsid w:val="006507E0"/>
    <w:rsid w:val="006552A4"/>
    <w:rsid w:val="006572BF"/>
    <w:rsid w:val="00657439"/>
    <w:rsid w:val="00671CFD"/>
    <w:rsid w:val="00676D4B"/>
    <w:rsid w:val="00676D7F"/>
    <w:rsid w:val="006934D7"/>
    <w:rsid w:val="006958C8"/>
    <w:rsid w:val="006A472F"/>
    <w:rsid w:val="006A6579"/>
    <w:rsid w:val="006B5B54"/>
    <w:rsid w:val="006C1EA2"/>
    <w:rsid w:val="006C32E8"/>
    <w:rsid w:val="006C3BD5"/>
    <w:rsid w:val="006C3F9B"/>
    <w:rsid w:val="006D1CA4"/>
    <w:rsid w:val="006D250F"/>
    <w:rsid w:val="006D5428"/>
    <w:rsid w:val="006E0319"/>
    <w:rsid w:val="006E2376"/>
    <w:rsid w:val="006E7561"/>
    <w:rsid w:val="006F38A0"/>
    <w:rsid w:val="006F3BF8"/>
    <w:rsid w:val="0070461F"/>
    <w:rsid w:val="00710C09"/>
    <w:rsid w:val="00721B70"/>
    <w:rsid w:val="0072354A"/>
    <w:rsid w:val="007259CB"/>
    <w:rsid w:val="0072702E"/>
    <w:rsid w:val="00746775"/>
    <w:rsid w:val="00747F8A"/>
    <w:rsid w:val="0076202A"/>
    <w:rsid w:val="0077421F"/>
    <w:rsid w:val="007755F6"/>
    <w:rsid w:val="00777EE4"/>
    <w:rsid w:val="00794A25"/>
    <w:rsid w:val="007A2DE7"/>
    <w:rsid w:val="007A601A"/>
    <w:rsid w:val="007A7DC8"/>
    <w:rsid w:val="007B3F18"/>
    <w:rsid w:val="007C4D46"/>
    <w:rsid w:val="007D01FE"/>
    <w:rsid w:val="007D2288"/>
    <w:rsid w:val="007D4278"/>
    <w:rsid w:val="007D6FC7"/>
    <w:rsid w:val="007E2A30"/>
    <w:rsid w:val="00807BEE"/>
    <w:rsid w:val="0081017B"/>
    <w:rsid w:val="008111BE"/>
    <w:rsid w:val="00816F46"/>
    <w:rsid w:val="00817433"/>
    <w:rsid w:val="008216F2"/>
    <w:rsid w:val="00831E05"/>
    <w:rsid w:val="00846F3C"/>
    <w:rsid w:val="00850B7B"/>
    <w:rsid w:val="00851188"/>
    <w:rsid w:val="00853590"/>
    <w:rsid w:val="00855851"/>
    <w:rsid w:val="00863D27"/>
    <w:rsid w:val="00867C6B"/>
    <w:rsid w:val="00867F63"/>
    <w:rsid w:val="0087467D"/>
    <w:rsid w:val="00875113"/>
    <w:rsid w:val="008875E7"/>
    <w:rsid w:val="00890BC9"/>
    <w:rsid w:val="008932D9"/>
    <w:rsid w:val="008A2647"/>
    <w:rsid w:val="008A5294"/>
    <w:rsid w:val="008B112A"/>
    <w:rsid w:val="008B2632"/>
    <w:rsid w:val="008B5E50"/>
    <w:rsid w:val="008B5F6B"/>
    <w:rsid w:val="008B6915"/>
    <w:rsid w:val="008C245B"/>
    <w:rsid w:val="008C3634"/>
    <w:rsid w:val="008C7F29"/>
    <w:rsid w:val="008E7B30"/>
    <w:rsid w:val="008F1853"/>
    <w:rsid w:val="008F4BB4"/>
    <w:rsid w:val="008F7937"/>
    <w:rsid w:val="00912E00"/>
    <w:rsid w:val="00915A95"/>
    <w:rsid w:val="00916199"/>
    <w:rsid w:val="00922F85"/>
    <w:rsid w:val="00926895"/>
    <w:rsid w:val="00931119"/>
    <w:rsid w:val="00932A85"/>
    <w:rsid w:val="00933E55"/>
    <w:rsid w:val="00941D3A"/>
    <w:rsid w:val="0094366F"/>
    <w:rsid w:val="009510E6"/>
    <w:rsid w:val="0095171D"/>
    <w:rsid w:val="00952299"/>
    <w:rsid w:val="009554DB"/>
    <w:rsid w:val="00962BCC"/>
    <w:rsid w:val="00967653"/>
    <w:rsid w:val="00973125"/>
    <w:rsid w:val="009763DB"/>
    <w:rsid w:val="009846E4"/>
    <w:rsid w:val="00990C0C"/>
    <w:rsid w:val="0099658B"/>
    <w:rsid w:val="009B04A9"/>
    <w:rsid w:val="009B2802"/>
    <w:rsid w:val="009C2894"/>
    <w:rsid w:val="009C66A4"/>
    <w:rsid w:val="009D5FAE"/>
    <w:rsid w:val="009D6AC1"/>
    <w:rsid w:val="009E343D"/>
    <w:rsid w:val="009E7E93"/>
    <w:rsid w:val="009F4A72"/>
    <w:rsid w:val="009F76A3"/>
    <w:rsid w:val="00A07D24"/>
    <w:rsid w:val="00A11036"/>
    <w:rsid w:val="00A1374E"/>
    <w:rsid w:val="00A13BB0"/>
    <w:rsid w:val="00A178C8"/>
    <w:rsid w:val="00A260AE"/>
    <w:rsid w:val="00A312EA"/>
    <w:rsid w:val="00A316DA"/>
    <w:rsid w:val="00A33215"/>
    <w:rsid w:val="00A33BD8"/>
    <w:rsid w:val="00A35BF7"/>
    <w:rsid w:val="00A375CB"/>
    <w:rsid w:val="00A6140C"/>
    <w:rsid w:val="00A662F5"/>
    <w:rsid w:val="00A7083F"/>
    <w:rsid w:val="00A72ED0"/>
    <w:rsid w:val="00A93FE1"/>
    <w:rsid w:val="00A9528D"/>
    <w:rsid w:val="00AA11F1"/>
    <w:rsid w:val="00AA3904"/>
    <w:rsid w:val="00AA7921"/>
    <w:rsid w:val="00AA7C1C"/>
    <w:rsid w:val="00AB19E0"/>
    <w:rsid w:val="00AC2254"/>
    <w:rsid w:val="00AC38B6"/>
    <w:rsid w:val="00AD3108"/>
    <w:rsid w:val="00AD45C0"/>
    <w:rsid w:val="00AD5DB3"/>
    <w:rsid w:val="00AD7181"/>
    <w:rsid w:val="00AF1220"/>
    <w:rsid w:val="00AF1634"/>
    <w:rsid w:val="00AF50DC"/>
    <w:rsid w:val="00B057F5"/>
    <w:rsid w:val="00B06354"/>
    <w:rsid w:val="00B178DA"/>
    <w:rsid w:val="00B276E0"/>
    <w:rsid w:val="00B33B08"/>
    <w:rsid w:val="00B354C8"/>
    <w:rsid w:val="00B35A38"/>
    <w:rsid w:val="00B36C24"/>
    <w:rsid w:val="00B52111"/>
    <w:rsid w:val="00B56725"/>
    <w:rsid w:val="00B56B3F"/>
    <w:rsid w:val="00B57D69"/>
    <w:rsid w:val="00B643A7"/>
    <w:rsid w:val="00B7134D"/>
    <w:rsid w:val="00B71AE4"/>
    <w:rsid w:val="00B85527"/>
    <w:rsid w:val="00B927FA"/>
    <w:rsid w:val="00BA3B75"/>
    <w:rsid w:val="00BA44D9"/>
    <w:rsid w:val="00BA53DE"/>
    <w:rsid w:val="00BA7810"/>
    <w:rsid w:val="00BB16BC"/>
    <w:rsid w:val="00BB5918"/>
    <w:rsid w:val="00BB5D52"/>
    <w:rsid w:val="00BB6BCC"/>
    <w:rsid w:val="00BC1F65"/>
    <w:rsid w:val="00BC21A9"/>
    <w:rsid w:val="00BC74BC"/>
    <w:rsid w:val="00BD4515"/>
    <w:rsid w:val="00BD504F"/>
    <w:rsid w:val="00BE1E95"/>
    <w:rsid w:val="00C36D6D"/>
    <w:rsid w:val="00C36FB0"/>
    <w:rsid w:val="00C41E3A"/>
    <w:rsid w:val="00C64C61"/>
    <w:rsid w:val="00C70F04"/>
    <w:rsid w:val="00C73EB2"/>
    <w:rsid w:val="00C828BD"/>
    <w:rsid w:val="00C83C00"/>
    <w:rsid w:val="00C87782"/>
    <w:rsid w:val="00C92336"/>
    <w:rsid w:val="00C93AF8"/>
    <w:rsid w:val="00C97184"/>
    <w:rsid w:val="00C97185"/>
    <w:rsid w:val="00CA1E51"/>
    <w:rsid w:val="00CA39BB"/>
    <w:rsid w:val="00CA4F6C"/>
    <w:rsid w:val="00CA5318"/>
    <w:rsid w:val="00CA5D20"/>
    <w:rsid w:val="00CA6CE7"/>
    <w:rsid w:val="00CB372B"/>
    <w:rsid w:val="00CC2C37"/>
    <w:rsid w:val="00CC35A5"/>
    <w:rsid w:val="00CC64D3"/>
    <w:rsid w:val="00CC6DD6"/>
    <w:rsid w:val="00CD3E97"/>
    <w:rsid w:val="00CD487A"/>
    <w:rsid w:val="00CD628B"/>
    <w:rsid w:val="00D061C7"/>
    <w:rsid w:val="00D10757"/>
    <w:rsid w:val="00D1186D"/>
    <w:rsid w:val="00D158EC"/>
    <w:rsid w:val="00D17569"/>
    <w:rsid w:val="00D20B72"/>
    <w:rsid w:val="00D2119E"/>
    <w:rsid w:val="00D2207E"/>
    <w:rsid w:val="00D2374B"/>
    <w:rsid w:val="00D237ED"/>
    <w:rsid w:val="00D27D02"/>
    <w:rsid w:val="00D3222F"/>
    <w:rsid w:val="00D42DA8"/>
    <w:rsid w:val="00D468ED"/>
    <w:rsid w:val="00D72C95"/>
    <w:rsid w:val="00D76051"/>
    <w:rsid w:val="00D87A05"/>
    <w:rsid w:val="00D9354F"/>
    <w:rsid w:val="00D93C53"/>
    <w:rsid w:val="00D96BC4"/>
    <w:rsid w:val="00D9700F"/>
    <w:rsid w:val="00DA2610"/>
    <w:rsid w:val="00DA55AE"/>
    <w:rsid w:val="00DB0F8B"/>
    <w:rsid w:val="00DB2EC9"/>
    <w:rsid w:val="00DB64F1"/>
    <w:rsid w:val="00DC7E64"/>
    <w:rsid w:val="00DD20C6"/>
    <w:rsid w:val="00DD20CA"/>
    <w:rsid w:val="00DD4399"/>
    <w:rsid w:val="00DD45B1"/>
    <w:rsid w:val="00DD75F5"/>
    <w:rsid w:val="00DF49CB"/>
    <w:rsid w:val="00E14556"/>
    <w:rsid w:val="00E153B9"/>
    <w:rsid w:val="00E17D17"/>
    <w:rsid w:val="00E226AC"/>
    <w:rsid w:val="00E23997"/>
    <w:rsid w:val="00E272B5"/>
    <w:rsid w:val="00E300EF"/>
    <w:rsid w:val="00E3235C"/>
    <w:rsid w:val="00E361F5"/>
    <w:rsid w:val="00E368EE"/>
    <w:rsid w:val="00E37FF0"/>
    <w:rsid w:val="00E4349E"/>
    <w:rsid w:val="00E5034C"/>
    <w:rsid w:val="00E60E78"/>
    <w:rsid w:val="00E73789"/>
    <w:rsid w:val="00E76318"/>
    <w:rsid w:val="00E764BB"/>
    <w:rsid w:val="00E7682E"/>
    <w:rsid w:val="00E805BA"/>
    <w:rsid w:val="00E83070"/>
    <w:rsid w:val="00E83402"/>
    <w:rsid w:val="00E860A0"/>
    <w:rsid w:val="00E867A5"/>
    <w:rsid w:val="00E8680A"/>
    <w:rsid w:val="00E970E7"/>
    <w:rsid w:val="00EA2CA0"/>
    <w:rsid w:val="00EA3142"/>
    <w:rsid w:val="00EA68AA"/>
    <w:rsid w:val="00EB307B"/>
    <w:rsid w:val="00EB4D90"/>
    <w:rsid w:val="00EB5CFB"/>
    <w:rsid w:val="00EB6DC3"/>
    <w:rsid w:val="00EC047B"/>
    <w:rsid w:val="00EC5A85"/>
    <w:rsid w:val="00EC6115"/>
    <w:rsid w:val="00EC7B3A"/>
    <w:rsid w:val="00ED77D0"/>
    <w:rsid w:val="00EE58FF"/>
    <w:rsid w:val="00EF4BBF"/>
    <w:rsid w:val="00EF556D"/>
    <w:rsid w:val="00F04F5C"/>
    <w:rsid w:val="00F31CCF"/>
    <w:rsid w:val="00F42ED1"/>
    <w:rsid w:val="00F4743B"/>
    <w:rsid w:val="00F609D2"/>
    <w:rsid w:val="00F613ED"/>
    <w:rsid w:val="00F66BCC"/>
    <w:rsid w:val="00F765E9"/>
    <w:rsid w:val="00F77870"/>
    <w:rsid w:val="00F831D8"/>
    <w:rsid w:val="00F83A65"/>
    <w:rsid w:val="00F873E2"/>
    <w:rsid w:val="00F90F79"/>
    <w:rsid w:val="00F91FCC"/>
    <w:rsid w:val="00F91FF1"/>
    <w:rsid w:val="00FA621C"/>
    <w:rsid w:val="00FA7661"/>
    <w:rsid w:val="00FB34C0"/>
    <w:rsid w:val="00FB7026"/>
    <w:rsid w:val="00FB720B"/>
    <w:rsid w:val="00FC06FB"/>
    <w:rsid w:val="00FC195D"/>
    <w:rsid w:val="00FC3265"/>
    <w:rsid w:val="00FC3867"/>
    <w:rsid w:val="00FC4B08"/>
    <w:rsid w:val="00FC6C4D"/>
    <w:rsid w:val="00FE0DFD"/>
    <w:rsid w:val="00FE47CE"/>
    <w:rsid w:val="00FE5CF5"/>
    <w:rsid w:val="00FF292E"/>
    <w:rsid w:val="00FF43A9"/>
    <w:rsid w:val="00FF6B48"/>
    <w:rsid w:val="00FF733E"/>
  </w:rsids>
  <m:mathPr>
    <m:mathFont m:val="Cambria Math"/>
    <m:brkBin m:val="before"/>
    <m:brkBinSub m:val="--"/>
    <m:smallFrac m:val="0"/>
    <m:dispDef/>
    <m:lMargin m:val="0"/>
    <m:rMargin m:val="0"/>
    <m:defJc m:val="centerGroup"/>
    <m:wrapIndent m:val="1440"/>
    <m:intLim m:val="subSup"/>
    <m:naryLim m:val="undOvr"/>
  </m:mathPr>
  <w:themeFontLang w:val="es-P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27157AD-EF6F-43DA-9C08-38891773B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s-P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14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20B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B72"/>
  </w:style>
  <w:style w:type="paragraph" w:styleId="Footer">
    <w:name w:val="footer"/>
    <w:basedOn w:val="Normal"/>
    <w:link w:val="FooterChar"/>
    <w:uiPriority w:val="99"/>
    <w:unhideWhenUsed/>
    <w:rsid w:val="00D20B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B72"/>
  </w:style>
  <w:style w:type="paragraph" w:styleId="BalloonText">
    <w:name w:val="Balloon Text"/>
    <w:basedOn w:val="Normal"/>
    <w:link w:val="BalloonTextChar"/>
    <w:uiPriority w:val="99"/>
    <w:semiHidden/>
    <w:unhideWhenUsed/>
    <w:rsid w:val="00D20B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B72"/>
    <w:rPr>
      <w:rFonts w:ascii="Segoe UI" w:hAnsi="Segoe UI" w:cs="Segoe UI"/>
      <w:sz w:val="18"/>
      <w:szCs w:val="18"/>
    </w:rPr>
  </w:style>
  <w:style w:type="character" w:styleId="Hyperlink">
    <w:name w:val="Hyperlink"/>
    <w:basedOn w:val="DefaultParagraphFont"/>
    <w:uiPriority w:val="99"/>
    <w:unhideWhenUsed/>
    <w:rsid w:val="00030CA2"/>
    <w:rPr>
      <w:color w:val="0563C1" w:themeColor="hyperlink"/>
      <w:u w:val="single"/>
    </w:rPr>
  </w:style>
  <w:style w:type="character" w:styleId="FollowedHyperlink">
    <w:name w:val="FollowedHyperlink"/>
    <w:basedOn w:val="DefaultParagraphFont"/>
    <w:uiPriority w:val="99"/>
    <w:semiHidden/>
    <w:unhideWhenUsed/>
    <w:rsid w:val="00030CA2"/>
    <w:rPr>
      <w:color w:val="954F72" w:themeColor="followedHyperlink"/>
      <w:u w:val="single"/>
    </w:rPr>
  </w:style>
  <w:style w:type="paragraph" w:styleId="ListParagraph">
    <w:name w:val="List Paragraph"/>
    <w:basedOn w:val="Normal"/>
    <w:uiPriority w:val="34"/>
    <w:qFormat/>
    <w:rsid w:val="00952299"/>
    <w:pPr>
      <w:ind w:left="720"/>
      <w:contextualSpacing/>
    </w:pPr>
  </w:style>
  <w:style w:type="paragraph" w:customStyle="1" w:styleId="Default">
    <w:name w:val="Default"/>
    <w:rsid w:val="004B608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72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oficinadeenergia.pr.gov"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emf"/><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8115C1372EC314AB9DED4BA54516DD6" ma:contentTypeVersion="0" ma:contentTypeDescription="Create a new document." ma:contentTypeScope="" ma:versionID="fa64717f999b5f5da1e31b51e7a598b2">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9DDE7F-DC81-4251-956A-153262E349E4}"/>
</file>

<file path=customXml/itemProps2.xml><?xml version="1.0" encoding="utf-8"?>
<ds:datastoreItem xmlns:ds="http://schemas.openxmlformats.org/officeDocument/2006/customXml" ds:itemID="{DB8EAC5B-EB3F-44B2-BC83-E39726B152FF}"/>
</file>

<file path=customXml/itemProps3.xml><?xml version="1.0" encoding="utf-8"?>
<ds:datastoreItem xmlns:ds="http://schemas.openxmlformats.org/officeDocument/2006/customXml" ds:itemID="{453E8B26-F448-4F9A-9FF5-6149508D8004}"/>
</file>

<file path=customXml/itemProps4.xml><?xml version="1.0" encoding="utf-8"?>
<ds:datastoreItem xmlns:ds="http://schemas.openxmlformats.org/officeDocument/2006/customXml" ds:itemID="{71012A3C-7C1F-4FA0-AC3C-A132CE3A7BE1}"/>
</file>

<file path=docProps/app.xml><?xml version="1.0" encoding="utf-8"?>
<Properties xmlns="http://schemas.openxmlformats.org/officeDocument/2006/extended-properties" xmlns:vt="http://schemas.openxmlformats.org/officeDocument/2006/docPropsVTypes">
  <Template>Normal</Template>
  <TotalTime>0</TotalTime>
  <Pages>5</Pages>
  <Words>1314</Words>
  <Characters>7229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Fortaleza</Company>
  <LinksUpToDate>false</LinksUpToDate>
  <CharactersWithSpaces>8526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R. Mattei Lozano</dc:creator>
  <cp:keywords/>
  <dc:description/>
  <cp:lastModifiedBy>Jose Maeso</cp:lastModifiedBy>
  <cp:revision>2</cp:revision>
  <cp:lastPrinted>2015-12-23T21:19:00Z</cp:lastPrinted>
  <dcterms:created xsi:type="dcterms:W3CDTF">2016-10-15T04:25:00Z</dcterms:created>
  <dcterms:modified xsi:type="dcterms:W3CDTF">2016-10-15T04:25:00Z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0x01010058115C1372EC314AB9DED4BA54516DD6</vt:lpwstr>
  </property>
</Properties>
</file>