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11" w:rsidRDefault="00944A11" w:rsidP="00D47DF1">
      <w:pPr>
        <w:rPr>
          <w:rFonts w:ascii="Arial" w:hAnsi="Arial" w:cs="Arial"/>
          <w:b/>
          <w:sz w:val="24"/>
          <w:szCs w:val="24"/>
          <w:lang w:val="en-US"/>
        </w:rPr>
      </w:pPr>
      <w:r w:rsidRPr="008D0362">
        <w:rPr>
          <w:noProof/>
          <w:lang w:val="es-ES_tradnl" w:eastAsia="es-ES_tradnl"/>
        </w:rPr>
        <w:drawing>
          <wp:inline distT="0" distB="0" distL="0" distR="0">
            <wp:extent cx="2312035" cy="967105"/>
            <wp:effectExtent l="0" t="0" r="0" b="4445"/>
            <wp:docPr id="1" name="Picture 1" descr="prcda-logO E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cda-logO EL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035" cy="967105"/>
                    </a:xfrm>
                    <a:prstGeom prst="rect">
                      <a:avLst/>
                    </a:prstGeom>
                    <a:noFill/>
                    <a:ln>
                      <a:noFill/>
                    </a:ln>
                  </pic:spPr>
                </pic:pic>
              </a:graphicData>
            </a:graphic>
          </wp:inline>
        </w:drawing>
      </w:r>
    </w:p>
    <w:p w:rsidR="00944A11" w:rsidRDefault="00944A11" w:rsidP="00D47DF1">
      <w:pPr>
        <w:rPr>
          <w:rFonts w:ascii="Arial" w:hAnsi="Arial" w:cs="Arial"/>
          <w:b/>
          <w:sz w:val="24"/>
          <w:szCs w:val="24"/>
          <w:lang w:val="en-US"/>
        </w:rPr>
      </w:pPr>
    </w:p>
    <w:p w:rsidR="00944A11" w:rsidRPr="002F68C4" w:rsidRDefault="00944A11" w:rsidP="00D47DF1">
      <w:pPr>
        <w:rPr>
          <w:rFonts w:ascii="Arial" w:hAnsi="Arial" w:cs="Arial"/>
          <w:sz w:val="24"/>
          <w:szCs w:val="24"/>
          <w:lang w:val="es-ES_tradnl"/>
        </w:rPr>
      </w:pPr>
      <w:r w:rsidRPr="002F68C4">
        <w:rPr>
          <w:rFonts w:ascii="Arial" w:hAnsi="Arial" w:cs="Arial"/>
          <w:sz w:val="24"/>
          <w:szCs w:val="24"/>
          <w:lang w:val="es-ES_tradnl"/>
        </w:rPr>
        <w:t>13 de octubre del 2016</w:t>
      </w:r>
    </w:p>
    <w:p w:rsidR="00944A11" w:rsidRDefault="00944A11" w:rsidP="00D47DF1">
      <w:pPr>
        <w:rPr>
          <w:rFonts w:ascii="Arial" w:hAnsi="Arial" w:cs="Arial"/>
          <w:b/>
          <w:sz w:val="24"/>
          <w:szCs w:val="24"/>
          <w:lang w:val="es-ES_tradnl"/>
        </w:rPr>
      </w:pPr>
    </w:p>
    <w:p w:rsidR="002F68C4" w:rsidRPr="002F68C4" w:rsidRDefault="002F68C4" w:rsidP="00D47DF1">
      <w:pPr>
        <w:rPr>
          <w:rFonts w:ascii="Arial" w:hAnsi="Arial" w:cs="Arial"/>
          <w:b/>
          <w:sz w:val="24"/>
          <w:szCs w:val="24"/>
          <w:lang w:val="es-ES_tradnl"/>
        </w:rPr>
      </w:pPr>
    </w:p>
    <w:p w:rsidR="00944A11" w:rsidRPr="002F68C4" w:rsidRDefault="00944A11" w:rsidP="00D47DF1">
      <w:pPr>
        <w:rPr>
          <w:rFonts w:ascii="Arial" w:hAnsi="Arial" w:cs="Arial"/>
          <w:b/>
          <w:sz w:val="24"/>
          <w:szCs w:val="24"/>
          <w:lang w:val="es-ES_tradnl"/>
        </w:rPr>
      </w:pPr>
      <w:r w:rsidRPr="002F68C4">
        <w:rPr>
          <w:rFonts w:ascii="Arial" w:hAnsi="Arial" w:cs="Arial"/>
          <w:b/>
          <w:sz w:val="24"/>
          <w:szCs w:val="24"/>
          <w:lang w:val="es-ES_tradnl"/>
        </w:rPr>
        <w:t>Comité de Transición 2016-2017</w:t>
      </w:r>
    </w:p>
    <w:p w:rsidR="00944A11" w:rsidRDefault="00944A11" w:rsidP="00D47DF1">
      <w:pPr>
        <w:rPr>
          <w:rFonts w:ascii="Arial" w:hAnsi="Arial" w:cs="Arial"/>
          <w:b/>
          <w:sz w:val="24"/>
          <w:szCs w:val="24"/>
          <w:lang w:val="es-ES_tradnl"/>
        </w:rPr>
      </w:pPr>
    </w:p>
    <w:p w:rsidR="002F68C4" w:rsidRPr="002F68C4" w:rsidRDefault="002F68C4" w:rsidP="00D47DF1">
      <w:pPr>
        <w:rPr>
          <w:rFonts w:ascii="Arial" w:hAnsi="Arial" w:cs="Arial"/>
          <w:b/>
          <w:sz w:val="24"/>
          <w:szCs w:val="24"/>
          <w:lang w:val="es-ES_tradnl"/>
        </w:rPr>
      </w:pPr>
    </w:p>
    <w:p w:rsidR="00944A11" w:rsidRPr="00944A11" w:rsidRDefault="00944A11" w:rsidP="00944A11">
      <w:pPr>
        <w:spacing w:after="0"/>
        <w:rPr>
          <w:rFonts w:ascii="Arial" w:hAnsi="Arial" w:cs="Arial"/>
          <w:b/>
          <w:sz w:val="24"/>
          <w:szCs w:val="24"/>
          <w:lang w:val="es-ES_tradnl"/>
        </w:rPr>
      </w:pPr>
      <w:r w:rsidRPr="00944A11">
        <w:rPr>
          <w:rFonts w:ascii="Arial" w:hAnsi="Arial" w:cs="Arial"/>
          <w:b/>
          <w:sz w:val="24"/>
          <w:szCs w:val="24"/>
          <w:lang w:val="es-ES_tradnl"/>
        </w:rPr>
        <w:t>Víctor A. Suárez Meléndez</w:t>
      </w:r>
    </w:p>
    <w:p w:rsidR="00944A11" w:rsidRPr="00944A11" w:rsidRDefault="00944A11" w:rsidP="00944A11">
      <w:pPr>
        <w:spacing w:after="0"/>
        <w:rPr>
          <w:rFonts w:ascii="Arial" w:hAnsi="Arial" w:cs="Arial"/>
          <w:b/>
          <w:sz w:val="24"/>
          <w:szCs w:val="24"/>
          <w:lang w:val="es-ES_tradnl"/>
        </w:rPr>
      </w:pPr>
      <w:r w:rsidRPr="00944A11">
        <w:rPr>
          <w:rFonts w:ascii="Arial" w:hAnsi="Arial" w:cs="Arial"/>
          <w:b/>
          <w:sz w:val="24"/>
          <w:szCs w:val="24"/>
          <w:lang w:val="es-ES_tradnl"/>
        </w:rPr>
        <w:t>Director Ejecutivo</w:t>
      </w:r>
    </w:p>
    <w:p w:rsidR="00944A11" w:rsidRDefault="00944A11" w:rsidP="00D47DF1">
      <w:pPr>
        <w:rPr>
          <w:rFonts w:ascii="Arial" w:hAnsi="Arial" w:cs="Arial"/>
          <w:b/>
          <w:sz w:val="24"/>
          <w:szCs w:val="24"/>
          <w:lang w:val="es-ES_tradnl"/>
        </w:rPr>
      </w:pPr>
    </w:p>
    <w:p w:rsidR="00944A11" w:rsidRPr="00944A11" w:rsidRDefault="00944A11" w:rsidP="00D47DF1">
      <w:pPr>
        <w:rPr>
          <w:rFonts w:ascii="Arial" w:hAnsi="Arial" w:cs="Arial"/>
          <w:b/>
          <w:sz w:val="24"/>
          <w:szCs w:val="24"/>
          <w:lang w:val="es-ES_tradnl"/>
        </w:rPr>
      </w:pPr>
      <w:r>
        <w:rPr>
          <w:rFonts w:ascii="Arial" w:hAnsi="Arial" w:cs="Arial"/>
          <w:b/>
          <w:sz w:val="24"/>
          <w:szCs w:val="24"/>
          <w:lang w:val="es-ES_tradnl"/>
        </w:rPr>
        <w:t xml:space="preserve">RE. </w:t>
      </w:r>
      <w:r>
        <w:rPr>
          <w:rFonts w:ascii="Arial" w:hAnsi="Arial" w:cs="Arial"/>
          <w:b/>
          <w:sz w:val="24"/>
          <w:szCs w:val="24"/>
          <w:lang w:val="es-ES_tradnl"/>
        </w:rPr>
        <w:tab/>
        <w:t>Ponencia de la Autoridad del Distrito del Centro de Convenciones</w:t>
      </w:r>
    </w:p>
    <w:p w:rsidR="00944A11" w:rsidRPr="00944A11" w:rsidRDefault="00944A11" w:rsidP="00D47DF1">
      <w:pPr>
        <w:rPr>
          <w:rFonts w:ascii="Arial" w:hAnsi="Arial" w:cs="Arial"/>
          <w:b/>
          <w:sz w:val="24"/>
          <w:szCs w:val="24"/>
          <w:lang w:val="es-ES_tradnl"/>
        </w:rPr>
      </w:pPr>
    </w:p>
    <w:p w:rsidR="002B5BFB" w:rsidRPr="006F3729" w:rsidRDefault="006F3729" w:rsidP="00D47DF1">
      <w:pPr>
        <w:pStyle w:val="ListParagraph"/>
        <w:numPr>
          <w:ilvl w:val="0"/>
          <w:numId w:val="1"/>
        </w:numPr>
        <w:rPr>
          <w:rFonts w:ascii="Arial" w:hAnsi="Arial" w:cs="Arial"/>
          <w:b/>
          <w:sz w:val="24"/>
          <w:szCs w:val="24"/>
          <w:lang w:val="en-US"/>
        </w:rPr>
      </w:pPr>
      <w:proofErr w:type="spellStart"/>
      <w:r w:rsidRPr="006F3729">
        <w:rPr>
          <w:rFonts w:ascii="Arial" w:hAnsi="Arial" w:cs="Arial"/>
          <w:b/>
          <w:sz w:val="24"/>
          <w:szCs w:val="24"/>
          <w:lang w:val="en-US"/>
        </w:rPr>
        <w:t>Introducció</w:t>
      </w:r>
      <w:r w:rsidR="00D47DF1" w:rsidRPr="006F3729">
        <w:rPr>
          <w:rFonts w:ascii="Arial" w:hAnsi="Arial" w:cs="Arial"/>
          <w:b/>
          <w:sz w:val="24"/>
          <w:szCs w:val="24"/>
          <w:lang w:val="en-US"/>
        </w:rPr>
        <w:t>n</w:t>
      </w:r>
      <w:proofErr w:type="spellEnd"/>
    </w:p>
    <w:p w:rsidR="00D47DF1" w:rsidRDefault="00D47DF1" w:rsidP="00D47DF1">
      <w:pPr>
        <w:pStyle w:val="ListParagraph"/>
        <w:ind w:left="1080"/>
        <w:rPr>
          <w:rFonts w:ascii="Arial" w:hAnsi="Arial" w:cs="Arial"/>
          <w:sz w:val="24"/>
          <w:szCs w:val="24"/>
          <w:lang w:val="en-US"/>
        </w:rPr>
      </w:pPr>
    </w:p>
    <w:p w:rsidR="00D47DF1" w:rsidRDefault="00D47DF1" w:rsidP="006F3729">
      <w:pPr>
        <w:pStyle w:val="ListParagraph"/>
        <w:ind w:left="1080"/>
        <w:jc w:val="both"/>
        <w:rPr>
          <w:rFonts w:ascii="Arial" w:hAnsi="Arial" w:cs="Arial"/>
          <w:sz w:val="24"/>
          <w:szCs w:val="24"/>
        </w:rPr>
      </w:pPr>
      <w:r>
        <w:rPr>
          <w:rFonts w:ascii="Arial" w:hAnsi="Arial" w:cs="Arial"/>
          <w:sz w:val="24"/>
          <w:szCs w:val="24"/>
        </w:rPr>
        <w:t xml:space="preserve">La Autoridad del Distrito del Centro de Convenciones es una corporación pública creada bajo la ley Núm. 142 del 4 de octubre de 2001 (según enmendada por </w:t>
      </w:r>
      <w:r w:rsidR="00416C9A">
        <w:rPr>
          <w:rFonts w:ascii="Arial" w:hAnsi="Arial" w:cs="Arial"/>
          <w:sz w:val="24"/>
          <w:szCs w:val="24"/>
        </w:rPr>
        <w:t>la</w:t>
      </w:r>
      <w:r>
        <w:rPr>
          <w:rFonts w:ascii="Arial" w:hAnsi="Arial" w:cs="Arial"/>
          <w:sz w:val="24"/>
          <w:szCs w:val="24"/>
        </w:rPr>
        <w:t xml:space="preserve"> ley Núm. 185 del 3 de agosto de 2004). La misma dispone el desarrollo, la administración y la fiscalización de las </w:t>
      </w:r>
      <w:r w:rsidR="006F3729">
        <w:rPr>
          <w:rFonts w:ascii="Arial" w:hAnsi="Arial" w:cs="Arial"/>
          <w:sz w:val="24"/>
          <w:szCs w:val="24"/>
        </w:rPr>
        <w:t>instalaciones</w:t>
      </w:r>
      <w:r>
        <w:rPr>
          <w:rFonts w:ascii="Arial" w:hAnsi="Arial" w:cs="Arial"/>
          <w:sz w:val="24"/>
          <w:szCs w:val="24"/>
        </w:rPr>
        <w:t xml:space="preserve"> del nuevo Distrito. </w:t>
      </w:r>
      <w:r w:rsidR="006F3729">
        <w:rPr>
          <w:rFonts w:ascii="Arial" w:hAnsi="Arial" w:cs="Arial"/>
          <w:sz w:val="24"/>
          <w:szCs w:val="24"/>
        </w:rPr>
        <w:t>Están</w:t>
      </w:r>
      <w:r>
        <w:rPr>
          <w:rFonts w:ascii="Arial" w:hAnsi="Arial" w:cs="Arial"/>
          <w:sz w:val="24"/>
          <w:szCs w:val="24"/>
        </w:rPr>
        <w:t xml:space="preserve"> incluyen el Centro de </w:t>
      </w:r>
      <w:r w:rsidR="006F3729">
        <w:rPr>
          <w:rFonts w:ascii="Arial" w:hAnsi="Arial" w:cs="Arial"/>
          <w:sz w:val="24"/>
          <w:szCs w:val="24"/>
        </w:rPr>
        <w:t>Convenciones</w:t>
      </w:r>
      <w:r>
        <w:rPr>
          <w:rFonts w:ascii="Arial" w:hAnsi="Arial" w:cs="Arial"/>
          <w:sz w:val="24"/>
          <w:szCs w:val="24"/>
        </w:rPr>
        <w:t xml:space="preserve"> de Puerto </w:t>
      </w:r>
      <w:r w:rsidR="006F3729">
        <w:rPr>
          <w:rFonts w:ascii="Arial" w:hAnsi="Arial" w:cs="Arial"/>
          <w:sz w:val="24"/>
          <w:szCs w:val="24"/>
        </w:rPr>
        <w:t>Rico</w:t>
      </w:r>
      <w:r>
        <w:rPr>
          <w:rFonts w:ascii="Arial" w:hAnsi="Arial" w:cs="Arial"/>
          <w:sz w:val="24"/>
          <w:szCs w:val="24"/>
        </w:rPr>
        <w:t xml:space="preserve">, El Coliseo de Puerto rico, El Antiguo Casino, </w:t>
      </w:r>
      <w:r w:rsidR="006F3729">
        <w:rPr>
          <w:rFonts w:ascii="Arial" w:hAnsi="Arial" w:cs="Arial"/>
          <w:sz w:val="24"/>
          <w:szCs w:val="24"/>
        </w:rPr>
        <w:t>Bahía</w:t>
      </w:r>
      <w:r>
        <w:rPr>
          <w:rFonts w:ascii="Arial" w:hAnsi="Arial" w:cs="Arial"/>
          <w:sz w:val="24"/>
          <w:szCs w:val="24"/>
        </w:rPr>
        <w:t xml:space="preserve"> Urbana al igual que la construcción de oficinas, </w:t>
      </w:r>
      <w:r w:rsidR="006F3729">
        <w:rPr>
          <w:rFonts w:ascii="Arial" w:hAnsi="Arial" w:cs="Arial"/>
          <w:sz w:val="24"/>
          <w:szCs w:val="24"/>
        </w:rPr>
        <w:t>en</w:t>
      </w:r>
      <w:r>
        <w:rPr>
          <w:rFonts w:ascii="Arial" w:hAnsi="Arial" w:cs="Arial"/>
          <w:sz w:val="24"/>
          <w:szCs w:val="24"/>
        </w:rPr>
        <w:t xml:space="preserve"> </w:t>
      </w:r>
      <w:r w:rsidR="006F3729">
        <w:rPr>
          <w:rFonts w:ascii="Arial" w:hAnsi="Arial" w:cs="Arial"/>
          <w:sz w:val="24"/>
          <w:szCs w:val="24"/>
        </w:rPr>
        <w:t>áreas</w:t>
      </w:r>
      <w:r>
        <w:rPr>
          <w:rFonts w:ascii="Arial" w:hAnsi="Arial" w:cs="Arial"/>
          <w:sz w:val="24"/>
          <w:szCs w:val="24"/>
        </w:rPr>
        <w:t xml:space="preserve"> comerciales y residenciales.</w:t>
      </w:r>
    </w:p>
    <w:p w:rsidR="006F3729" w:rsidRDefault="006F3729" w:rsidP="006F3729">
      <w:pPr>
        <w:pStyle w:val="ListParagraph"/>
        <w:ind w:left="1080"/>
        <w:jc w:val="both"/>
        <w:rPr>
          <w:rFonts w:ascii="Arial" w:hAnsi="Arial" w:cs="Arial"/>
          <w:sz w:val="24"/>
          <w:szCs w:val="24"/>
        </w:rPr>
      </w:pPr>
    </w:p>
    <w:p w:rsidR="006F3729" w:rsidRDefault="006F3729" w:rsidP="006F3729">
      <w:pPr>
        <w:pStyle w:val="ListParagraph"/>
        <w:ind w:left="1080"/>
        <w:jc w:val="both"/>
        <w:rPr>
          <w:rFonts w:ascii="Arial" w:hAnsi="Arial" w:cs="Arial"/>
          <w:sz w:val="24"/>
          <w:szCs w:val="24"/>
        </w:rPr>
      </w:pPr>
      <w:r>
        <w:rPr>
          <w:rFonts w:ascii="Arial" w:hAnsi="Arial" w:cs="Arial"/>
          <w:sz w:val="24"/>
          <w:szCs w:val="24"/>
        </w:rPr>
        <w:t>El Distrito de Convenciones ocupa unas 154 cuerdas en el corazón de San Juan. Representa la transformación de los terrenos que ocupa la antigua base naval de Miramar en una nueva comunidad con áreas residenciales, oficinas, establecimientos comerciales y de entretenimientos e instalaciones para actividades cívicas o culturales.</w:t>
      </w:r>
    </w:p>
    <w:p w:rsidR="006F3729" w:rsidRDefault="006F3729" w:rsidP="006F3729">
      <w:pPr>
        <w:jc w:val="both"/>
        <w:rPr>
          <w:rFonts w:ascii="Arial" w:hAnsi="Arial" w:cs="Arial"/>
          <w:sz w:val="24"/>
          <w:szCs w:val="24"/>
        </w:rPr>
      </w:pPr>
    </w:p>
    <w:p w:rsidR="002F68C4" w:rsidRDefault="002F68C4" w:rsidP="006F3729">
      <w:pPr>
        <w:jc w:val="both"/>
        <w:rPr>
          <w:rFonts w:ascii="Arial" w:hAnsi="Arial" w:cs="Arial"/>
          <w:sz w:val="24"/>
          <w:szCs w:val="24"/>
        </w:rPr>
      </w:pPr>
    </w:p>
    <w:p w:rsidR="002F68C4" w:rsidRDefault="002F68C4" w:rsidP="006F3729">
      <w:pPr>
        <w:jc w:val="both"/>
        <w:rPr>
          <w:rFonts w:ascii="Arial" w:hAnsi="Arial" w:cs="Arial"/>
          <w:sz w:val="24"/>
          <w:szCs w:val="24"/>
        </w:rPr>
      </w:pPr>
    </w:p>
    <w:p w:rsidR="002F68C4" w:rsidRDefault="002F68C4" w:rsidP="006F3729">
      <w:pPr>
        <w:jc w:val="both"/>
        <w:rPr>
          <w:rFonts w:ascii="Arial" w:hAnsi="Arial" w:cs="Arial"/>
          <w:sz w:val="24"/>
          <w:szCs w:val="24"/>
        </w:rPr>
      </w:pPr>
    </w:p>
    <w:p w:rsidR="006F3729" w:rsidRDefault="006F3729" w:rsidP="006F3729">
      <w:pPr>
        <w:pStyle w:val="ListParagraph"/>
        <w:numPr>
          <w:ilvl w:val="0"/>
          <w:numId w:val="1"/>
        </w:numPr>
        <w:jc w:val="both"/>
        <w:rPr>
          <w:rFonts w:ascii="Arial" w:hAnsi="Arial" w:cs="Arial"/>
          <w:b/>
          <w:sz w:val="24"/>
          <w:szCs w:val="24"/>
        </w:rPr>
      </w:pPr>
      <w:r w:rsidRPr="006F3729">
        <w:rPr>
          <w:rFonts w:ascii="Arial" w:hAnsi="Arial" w:cs="Arial"/>
          <w:b/>
          <w:sz w:val="24"/>
          <w:szCs w:val="24"/>
        </w:rPr>
        <w:t>Información general de la Autoridad del Distrito del Centro de Convenciones de Puerto Rico</w:t>
      </w:r>
    </w:p>
    <w:p w:rsidR="002F68C4" w:rsidRDefault="002F68C4" w:rsidP="006F3729">
      <w:pPr>
        <w:pStyle w:val="ListParagraph"/>
        <w:ind w:left="1080"/>
        <w:jc w:val="both"/>
        <w:rPr>
          <w:rFonts w:ascii="Arial" w:hAnsi="Arial" w:cs="Arial"/>
          <w:b/>
          <w:sz w:val="24"/>
          <w:szCs w:val="24"/>
        </w:rPr>
      </w:pPr>
    </w:p>
    <w:p w:rsidR="006F3729" w:rsidRDefault="006F3729" w:rsidP="006F3729">
      <w:pPr>
        <w:pStyle w:val="ListParagraph"/>
        <w:numPr>
          <w:ilvl w:val="0"/>
          <w:numId w:val="2"/>
        </w:numPr>
        <w:jc w:val="both"/>
        <w:rPr>
          <w:rFonts w:ascii="Arial" w:hAnsi="Arial" w:cs="Arial"/>
          <w:b/>
          <w:sz w:val="24"/>
          <w:szCs w:val="24"/>
        </w:rPr>
      </w:pPr>
      <w:r>
        <w:rPr>
          <w:rFonts w:ascii="Arial" w:hAnsi="Arial" w:cs="Arial"/>
          <w:b/>
          <w:sz w:val="24"/>
          <w:szCs w:val="24"/>
        </w:rPr>
        <w:t>Visión, Misión &amp; Objetivos</w:t>
      </w:r>
    </w:p>
    <w:p w:rsidR="006F3729" w:rsidRDefault="006F3729" w:rsidP="006F3729">
      <w:pPr>
        <w:pStyle w:val="ListParagraph"/>
        <w:ind w:left="1440"/>
        <w:jc w:val="both"/>
        <w:rPr>
          <w:rFonts w:ascii="Arial" w:hAnsi="Arial" w:cs="Arial"/>
          <w:b/>
          <w:sz w:val="24"/>
          <w:szCs w:val="24"/>
        </w:rPr>
      </w:pPr>
    </w:p>
    <w:p w:rsidR="006F3729" w:rsidRDefault="006F3729" w:rsidP="006F3729">
      <w:pPr>
        <w:pStyle w:val="ListParagraph"/>
        <w:numPr>
          <w:ilvl w:val="0"/>
          <w:numId w:val="3"/>
        </w:numPr>
        <w:jc w:val="both"/>
        <w:rPr>
          <w:rFonts w:ascii="Arial" w:hAnsi="Arial" w:cs="Arial"/>
          <w:b/>
          <w:sz w:val="24"/>
          <w:szCs w:val="24"/>
        </w:rPr>
      </w:pPr>
      <w:r>
        <w:rPr>
          <w:rFonts w:ascii="Arial" w:hAnsi="Arial" w:cs="Arial"/>
          <w:b/>
          <w:sz w:val="24"/>
          <w:szCs w:val="24"/>
        </w:rPr>
        <w:t>Visión</w:t>
      </w:r>
    </w:p>
    <w:p w:rsidR="006F3729" w:rsidRDefault="006F3729" w:rsidP="006F3729">
      <w:pPr>
        <w:pStyle w:val="ListParagraph"/>
        <w:ind w:left="1800"/>
        <w:jc w:val="both"/>
        <w:rPr>
          <w:rFonts w:ascii="Arial" w:hAnsi="Arial" w:cs="Arial"/>
          <w:sz w:val="24"/>
          <w:szCs w:val="24"/>
        </w:rPr>
      </w:pPr>
      <w:r>
        <w:rPr>
          <w:rFonts w:ascii="Arial" w:hAnsi="Arial" w:cs="Arial"/>
          <w:sz w:val="24"/>
          <w:szCs w:val="24"/>
        </w:rPr>
        <w:t>Desarrollo económico vigoroso y sustentable de Puerto Rico, a través del desarrollo urbano y del crecimiento de la industria de convenciones, turismo y entretenimiento.</w:t>
      </w:r>
    </w:p>
    <w:p w:rsidR="006F3729" w:rsidRPr="006F3729" w:rsidRDefault="006F3729" w:rsidP="006F3729">
      <w:pPr>
        <w:pStyle w:val="ListParagraph"/>
        <w:numPr>
          <w:ilvl w:val="0"/>
          <w:numId w:val="3"/>
        </w:numPr>
        <w:jc w:val="both"/>
        <w:rPr>
          <w:rFonts w:ascii="Arial" w:hAnsi="Arial" w:cs="Arial"/>
          <w:b/>
          <w:sz w:val="24"/>
          <w:szCs w:val="24"/>
        </w:rPr>
      </w:pPr>
      <w:r w:rsidRPr="006F3729">
        <w:rPr>
          <w:rFonts w:ascii="Arial" w:hAnsi="Arial" w:cs="Arial"/>
          <w:b/>
          <w:sz w:val="24"/>
          <w:szCs w:val="24"/>
        </w:rPr>
        <w:t>Misión</w:t>
      </w:r>
    </w:p>
    <w:p w:rsidR="006F3729" w:rsidRDefault="006F3729" w:rsidP="006F3729">
      <w:pPr>
        <w:pStyle w:val="ListParagraph"/>
        <w:ind w:left="1800"/>
        <w:jc w:val="both"/>
        <w:rPr>
          <w:rFonts w:ascii="Arial" w:hAnsi="Arial" w:cs="Arial"/>
          <w:sz w:val="24"/>
          <w:szCs w:val="24"/>
        </w:rPr>
      </w:pPr>
      <w:r>
        <w:rPr>
          <w:rFonts w:ascii="Arial" w:hAnsi="Arial" w:cs="Arial"/>
          <w:sz w:val="24"/>
          <w:szCs w:val="24"/>
        </w:rPr>
        <w:t>Desarrollar y operar el Distrito de Convenciones, Coliseo de Puerto Rico, Centro de Convenciones, Antiguo Casino, Bahía Urbana y otros proyectos de usos mixtos para posicionar a Puerto Rico como un destino de negocios, turismo y entretenimiento de clase mundial, con el propósito de impulsa el desarrollo económico.</w:t>
      </w:r>
    </w:p>
    <w:p w:rsidR="006F3729" w:rsidRPr="00416C9A" w:rsidRDefault="006F3729" w:rsidP="006F3729">
      <w:pPr>
        <w:pStyle w:val="ListParagraph"/>
        <w:numPr>
          <w:ilvl w:val="0"/>
          <w:numId w:val="3"/>
        </w:numPr>
        <w:jc w:val="both"/>
        <w:rPr>
          <w:rFonts w:ascii="Arial" w:hAnsi="Arial" w:cs="Arial"/>
          <w:b/>
          <w:sz w:val="24"/>
          <w:szCs w:val="24"/>
        </w:rPr>
      </w:pPr>
      <w:r w:rsidRPr="00416C9A">
        <w:rPr>
          <w:rFonts w:ascii="Arial" w:hAnsi="Arial" w:cs="Arial"/>
          <w:b/>
          <w:sz w:val="24"/>
          <w:szCs w:val="24"/>
        </w:rPr>
        <w:t>Objetivos</w:t>
      </w:r>
    </w:p>
    <w:p w:rsidR="0088751E" w:rsidRDefault="0088751E" w:rsidP="006F3729">
      <w:pPr>
        <w:pStyle w:val="ListParagraph"/>
        <w:ind w:left="1800"/>
        <w:jc w:val="both"/>
        <w:rPr>
          <w:rFonts w:ascii="Arial" w:hAnsi="Arial" w:cs="Arial"/>
          <w:sz w:val="24"/>
          <w:szCs w:val="24"/>
        </w:rPr>
      </w:pPr>
      <w:r>
        <w:rPr>
          <w:rFonts w:ascii="Arial" w:hAnsi="Arial" w:cs="Arial"/>
          <w:sz w:val="24"/>
          <w:szCs w:val="24"/>
        </w:rPr>
        <w:t>Administrar eficientemente las operaciones del Ce</w:t>
      </w:r>
      <w:r w:rsidR="00864A28">
        <w:rPr>
          <w:rFonts w:ascii="Arial" w:hAnsi="Arial" w:cs="Arial"/>
          <w:sz w:val="24"/>
          <w:szCs w:val="24"/>
        </w:rPr>
        <w:t>ntro</w:t>
      </w:r>
      <w:r>
        <w:rPr>
          <w:rFonts w:ascii="Arial" w:hAnsi="Arial" w:cs="Arial"/>
          <w:sz w:val="24"/>
          <w:szCs w:val="24"/>
        </w:rPr>
        <w:t xml:space="preserve"> del Centro de Convenciones, Coliseo de Puerto Rico, Antiguo Casino y Bahía urbana y vela</w:t>
      </w:r>
      <w:r w:rsidR="00864A28">
        <w:rPr>
          <w:rFonts w:ascii="Arial" w:hAnsi="Arial" w:cs="Arial"/>
          <w:sz w:val="24"/>
          <w:szCs w:val="24"/>
        </w:rPr>
        <w:t>r</w:t>
      </w:r>
      <w:r>
        <w:rPr>
          <w:rFonts w:ascii="Arial" w:hAnsi="Arial" w:cs="Arial"/>
          <w:sz w:val="24"/>
          <w:szCs w:val="24"/>
        </w:rPr>
        <w:t xml:space="preserve"> porque se ofrezcan servicios de calidad en dichas instalaciones</w:t>
      </w:r>
    </w:p>
    <w:p w:rsidR="0088751E" w:rsidRDefault="0088751E" w:rsidP="006F3729">
      <w:pPr>
        <w:pStyle w:val="ListParagraph"/>
        <w:ind w:left="1800"/>
        <w:jc w:val="both"/>
        <w:rPr>
          <w:rFonts w:ascii="Arial" w:hAnsi="Arial" w:cs="Arial"/>
          <w:sz w:val="24"/>
          <w:szCs w:val="24"/>
        </w:rPr>
      </w:pPr>
    </w:p>
    <w:p w:rsidR="0088751E" w:rsidRDefault="0088751E" w:rsidP="006F3729">
      <w:pPr>
        <w:pStyle w:val="ListParagraph"/>
        <w:ind w:left="1800"/>
        <w:jc w:val="both"/>
        <w:rPr>
          <w:rFonts w:ascii="Arial" w:hAnsi="Arial" w:cs="Arial"/>
          <w:sz w:val="24"/>
          <w:szCs w:val="24"/>
        </w:rPr>
      </w:pPr>
      <w:r>
        <w:rPr>
          <w:rFonts w:ascii="Arial" w:hAnsi="Arial" w:cs="Arial"/>
          <w:sz w:val="24"/>
          <w:szCs w:val="24"/>
        </w:rPr>
        <w:t xml:space="preserve">Revitalizar y mantener el área de Isla Grande, desarrollando el </w:t>
      </w:r>
      <w:r w:rsidR="00416C9A">
        <w:rPr>
          <w:rFonts w:ascii="Arial" w:hAnsi="Arial" w:cs="Arial"/>
          <w:sz w:val="24"/>
          <w:szCs w:val="24"/>
        </w:rPr>
        <w:t>Distrito</w:t>
      </w:r>
      <w:r>
        <w:rPr>
          <w:rFonts w:ascii="Arial" w:hAnsi="Arial" w:cs="Arial"/>
          <w:sz w:val="24"/>
          <w:szCs w:val="24"/>
        </w:rPr>
        <w:t xml:space="preserve"> de Convenciones, conforme a un plan de desarrollo de usos mixtos, y manteniendo el mismo en excelentes </w:t>
      </w:r>
      <w:r w:rsidR="00416C9A">
        <w:rPr>
          <w:rFonts w:ascii="Arial" w:hAnsi="Arial" w:cs="Arial"/>
          <w:sz w:val="24"/>
          <w:szCs w:val="24"/>
        </w:rPr>
        <w:t>condiciones</w:t>
      </w:r>
      <w:r>
        <w:rPr>
          <w:rFonts w:ascii="Arial" w:hAnsi="Arial" w:cs="Arial"/>
          <w:sz w:val="24"/>
          <w:szCs w:val="24"/>
        </w:rPr>
        <w:t>.</w:t>
      </w:r>
    </w:p>
    <w:p w:rsidR="0088751E" w:rsidRDefault="0088751E" w:rsidP="006F3729">
      <w:pPr>
        <w:pStyle w:val="ListParagraph"/>
        <w:ind w:left="1800"/>
        <w:jc w:val="both"/>
        <w:rPr>
          <w:rFonts w:ascii="Arial" w:hAnsi="Arial" w:cs="Arial"/>
          <w:sz w:val="24"/>
          <w:szCs w:val="24"/>
        </w:rPr>
      </w:pPr>
    </w:p>
    <w:p w:rsidR="006F3729" w:rsidRDefault="0088751E" w:rsidP="006F3729">
      <w:pPr>
        <w:pStyle w:val="ListParagraph"/>
        <w:ind w:left="1800"/>
        <w:jc w:val="both"/>
        <w:rPr>
          <w:rFonts w:ascii="Arial" w:hAnsi="Arial" w:cs="Arial"/>
          <w:sz w:val="24"/>
          <w:szCs w:val="24"/>
        </w:rPr>
      </w:pPr>
      <w:r>
        <w:rPr>
          <w:rFonts w:ascii="Arial" w:hAnsi="Arial" w:cs="Arial"/>
          <w:sz w:val="24"/>
          <w:szCs w:val="24"/>
        </w:rPr>
        <w:t>Fomentar la creación de nuevos empleos y oportunidad</w:t>
      </w:r>
      <w:r w:rsidR="00416C9A">
        <w:rPr>
          <w:rFonts w:ascii="Arial" w:hAnsi="Arial" w:cs="Arial"/>
          <w:sz w:val="24"/>
          <w:szCs w:val="24"/>
        </w:rPr>
        <w:t>es de negocio</w:t>
      </w:r>
      <w:r>
        <w:rPr>
          <w:rFonts w:ascii="Arial" w:hAnsi="Arial" w:cs="Arial"/>
          <w:sz w:val="24"/>
          <w:szCs w:val="24"/>
        </w:rPr>
        <w:t>.</w:t>
      </w:r>
    </w:p>
    <w:p w:rsidR="00416C9A" w:rsidRDefault="00416C9A" w:rsidP="006F3729">
      <w:pPr>
        <w:pStyle w:val="ListParagraph"/>
        <w:ind w:left="1800"/>
        <w:jc w:val="both"/>
        <w:rPr>
          <w:rFonts w:ascii="Arial" w:hAnsi="Arial" w:cs="Arial"/>
          <w:sz w:val="24"/>
          <w:szCs w:val="24"/>
        </w:rPr>
      </w:pPr>
    </w:p>
    <w:p w:rsidR="00416C9A" w:rsidRDefault="00416C9A" w:rsidP="006F3729">
      <w:pPr>
        <w:pStyle w:val="ListParagraph"/>
        <w:ind w:left="1800"/>
        <w:jc w:val="both"/>
        <w:rPr>
          <w:rFonts w:ascii="Arial" w:hAnsi="Arial" w:cs="Arial"/>
          <w:sz w:val="24"/>
          <w:szCs w:val="24"/>
        </w:rPr>
      </w:pPr>
      <w:r>
        <w:rPr>
          <w:rFonts w:ascii="Arial" w:hAnsi="Arial" w:cs="Arial"/>
          <w:sz w:val="24"/>
          <w:szCs w:val="24"/>
        </w:rPr>
        <w:t>Realizar las funciones de la Autoridad de manera ágil y eficiente, utilizando los principios de gerencia de proyectos y actuando como un facilitador en alianza con la empresa privada.</w:t>
      </w:r>
    </w:p>
    <w:p w:rsidR="00416C9A" w:rsidRDefault="00416C9A" w:rsidP="00416C9A">
      <w:pPr>
        <w:jc w:val="both"/>
        <w:rPr>
          <w:rFonts w:ascii="Arial" w:hAnsi="Arial" w:cs="Arial"/>
          <w:sz w:val="24"/>
          <w:szCs w:val="24"/>
        </w:rPr>
      </w:pPr>
    </w:p>
    <w:p w:rsidR="00416C9A" w:rsidRDefault="00416C9A" w:rsidP="00416C9A">
      <w:pPr>
        <w:pStyle w:val="ListParagraph"/>
        <w:numPr>
          <w:ilvl w:val="0"/>
          <w:numId w:val="2"/>
        </w:numPr>
        <w:jc w:val="both"/>
        <w:rPr>
          <w:rFonts w:ascii="Arial" w:hAnsi="Arial" w:cs="Arial"/>
          <w:b/>
          <w:sz w:val="24"/>
          <w:szCs w:val="24"/>
        </w:rPr>
      </w:pPr>
      <w:r w:rsidRPr="00416C9A">
        <w:rPr>
          <w:rFonts w:ascii="Arial" w:hAnsi="Arial" w:cs="Arial"/>
          <w:b/>
          <w:sz w:val="24"/>
          <w:szCs w:val="24"/>
        </w:rPr>
        <w:t>Base Legal</w:t>
      </w:r>
    </w:p>
    <w:p w:rsidR="00944A11" w:rsidRPr="00416C9A" w:rsidRDefault="00944A11" w:rsidP="00944A11">
      <w:pPr>
        <w:pStyle w:val="ListParagraph"/>
        <w:ind w:left="1440"/>
        <w:jc w:val="both"/>
        <w:rPr>
          <w:rFonts w:ascii="Arial" w:hAnsi="Arial" w:cs="Arial"/>
          <w:b/>
          <w:sz w:val="24"/>
          <w:szCs w:val="24"/>
        </w:rPr>
      </w:pPr>
    </w:p>
    <w:p w:rsidR="00416C9A" w:rsidRDefault="00416C9A" w:rsidP="00416C9A">
      <w:pPr>
        <w:pStyle w:val="ListParagraph"/>
        <w:ind w:left="1440"/>
        <w:jc w:val="both"/>
        <w:rPr>
          <w:rFonts w:ascii="Arial" w:hAnsi="Arial" w:cs="Arial"/>
          <w:sz w:val="24"/>
          <w:szCs w:val="24"/>
        </w:rPr>
      </w:pPr>
      <w:r>
        <w:rPr>
          <w:rFonts w:ascii="Arial" w:hAnsi="Arial" w:cs="Arial"/>
          <w:sz w:val="24"/>
          <w:szCs w:val="24"/>
        </w:rPr>
        <w:t xml:space="preserve">      Ley Núm. 351 de 2 de septiembre de 2000, según enmendada por la </w:t>
      </w:r>
    </w:p>
    <w:p w:rsidR="00416C9A" w:rsidRDefault="00416C9A" w:rsidP="00416C9A">
      <w:pPr>
        <w:pStyle w:val="ListParagraph"/>
        <w:ind w:left="1440"/>
        <w:jc w:val="both"/>
        <w:rPr>
          <w:rFonts w:ascii="Arial" w:hAnsi="Arial" w:cs="Arial"/>
          <w:sz w:val="24"/>
          <w:szCs w:val="24"/>
        </w:rPr>
      </w:pPr>
      <w:r>
        <w:rPr>
          <w:rFonts w:ascii="Arial" w:hAnsi="Arial" w:cs="Arial"/>
          <w:sz w:val="24"/>
          <w:szCs w:val="24"/>
        </w:rPr>
        <w:t xml:space="preserve">      Ley Núm. 142 de 4 de octubre de 2001, Ley Núm. 185 de 3 de agosto </w:t>
      </w:r>
    </w:p>
    <w:p w:rsidR="00416C9A" w:rsidRDefault="00416C9A" w:rsidP="00416C9A">
      <w:pPr>
        <w:pStyle w:val="ListParagraph"/>
        <w:ind w:left="14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2004, Ley Núm. 394 de 21 de septiembre de 2004 y Ley Núm. 14 de </w:t>
      </w:r>
    </w:p>
    <w:p w:rsidR="00416C9A" w:rsidRPr="00416C9A" w:rsidRDefault="00416C9A" w:rsidP="00416C9A">
      <w:pPr>
        <w:pStyle w:val="ListParagraph"/>
        <w:ind w:left="1440"/>
        <w:jc w:val="both"/>
        <w:rPr>
          <w:rFonts w:ascii="Arial" w:hAnsi="Arial" w:cs="Arial"/>
          <w:sz w:val="24"/>
          <w:szCs w:val="24"/>
        </w:rPr>
      </w:pPr>
      <w:r>
        <w:rPr>
          <w:rFonts w:ascii="Arial" w:hAnsi="Arial" w:cs="Arial"/>
          <w:sz w:val="24"/>
          <w:szCs w:val="24"/>
        </w:rPr>
        <w:t xml:space="preserve">      20 de enero de 2006.</w:t>
      </w:r>
    </w:p>
    <w:p w:rsidR="006F3729" w:rsidRDefault="006F3729" w:rsidP="006F3729">
      <w:pPr>
        <w:pStyle w:val="ListParagraph"/>
        <w:ind w:left="1800"/>
        <w:jc w:val="both"/>
        <w:rPr>
          <w:rFonts w:ascii="Arial" w:hAnsi="Arial" w:cs="Arial"/>
          <w:sz w:val="24"/>
          <w:szCs w:val="24"/>
        </w:rPr>
      </w:pPr>
    </w:p>
    <w:p w:rsidR="002F68C4" w:rsidRDefault="002F68C4" w:rsidP="006F3729">
      <w:pPr>
        <w:pStyle w:val="ListParagraph"/>
        <w:ind w:left="1800"/>
        <w:jc w:val="both"/>
        <w:rPr>
          <w:rFonts w:ascii="Arial" w:hAnsi="Arial" w:cs="Arial"/>
          <w:sz w:val="24"/>
          <w:szCs w:val="24"/>
        </w:rPr>
      </w:pPr>
    </w:p>
    <w:p w:rsidR="002F68C4" w:rsidRDefault="002F68C4" w:rsidP="006F3729">
      <w:pPr>
        <w:pStyle w:val="ListParagraph"/>
        <w:ind w:left="1800"/>
        <w:jc w:val="both"/>
        <w:rPr>
          <w:rFonts w:ascii="Arial" w:hAnsi="Arial" w:cs="Arial"/>
          <w:sz w:val="24"/>
          <w:szCs w:val="24"/>
        </w:rPr>
      </w:pPr>
    </w:p>
    <w:p w:rsidR="002F68C4" w:rsidRPr="006F3729" w:rsidRDefault="002F68C4" w:rsidP="006F3729">
      <w:pPr>
        <w:pStyle w:val="ListParagraph"/>
        <w:ind w:left="1800"/>
        <w:jc w:val="both"/>
        <w:rPr>
          <w:rFonts w:ascii="Arial" w:hAnsi="Arial" w:cs="Arial"/>
          <w:sz w:val="24"/>
          <w:szCs w:val="24"/>
        </w:rPr>
      </w:pPr>
    </w:p>
    <w:p w:rsidR="006F3729" w:rsidRPr="00864A28" w:rsidRDefault="00416C9A" w:rsidP="00416C9A">
      <w:pPr>
        <w:pStyle w:val="ListParagraph"/>
        <w:numPr>
          <w:ilvl w:val="0"/>
          <w:numId w:val="2"/>
        </w:numPr>
        <w:jc w:val="both"/>
        <w:rPr>
          <w:rFonts w:ascii="Arial" w:hAnsi="Arial" w:cs="Arial"/>
          <w:b/>
          <w:sz w:val="24"/>
          <w:szCs w:val="24"/>
        </w:rPr>
      </w:pPr>
      <w:r w:rsidRPr="00864A28">
        <w:rPr>
          <w:rFonts w:ascii="Arial" w:hAnsi="Arial" w:cs="Arial"/>
          <w:b/>
          <w:sz w:val="24"/>
          <w:szCs w:val="24"/>
        </w:rPr>
        <w:lastRenderedPageBreak/>
        <w:t xml:space="preserve">Logros, Proyectos y Resultados </w:t>
      </w:r>
      <w:r w:rsidR="00BB1F66" w:rsidRPr="00864A28">
        <w:rPr>
          <w:rFonts w:ascii="Arial" w:hAnsi="Arial" w:cs="Arial"/>
          <w:b/>
          <w:sz w:val="24"/>
          <w:szCs w:val="24"/>
        </w:rPr>
        <w:t>más</w:t>
      </w:r>
      <w:r w:rsidRPr="00864A28">
        <w:rPr>
          <w:rFonts w:ascii="Arial" w:hAnsi="Arial" w:cs="Arial"/>
          <w:b/>
          <w:sz w:val="24"/>
          <w:szCs w:val="24"/>
        </w:rPr>
        <w:t xml:space="preserve"> Significativos</w:t>
      </w:r>
    </w:p>
    <w:p w:rsidR="00864A28" w:rsidRDefault="00864A28" w:rsidP="00864A28">
      <w:pPr>
        <w:pStyle w:val="ListParagraph"/>
        <w:ind w:left="1440"/>
        <w:jc w:val="both"/>
        <w:rPr>
          <w:rFonts w:ascii="Arial" w:hAnsi="Arial" w:cs="Arial"/>
          <w:sz w:val="24"/>
          <w:szCs w:val="24"/>
        </w:rPr>
      </w:pPr>
    </w:p>
    <w:p w:rsidR="00416C9A" w:rsidRDefault="00416C9A" w:rsidP="00416C9A">
      <w:pPr>
        <w:pStyle w:val="ListParagraph"/>
        <w:numPr>
          <w:ilvl w:val="0"/>
          <w:numId w:val="4"/>
        </w:numPr>
        <w:jc w:val="both"/>
        <w:rPr>
          <w:rFonts w:ascii="Arial" w:hAnsi="Arial" w:cs="Arial"/>
          <w:b/>
          <w:sz w:val="24"/>
          <w:szCs w:val="24"/>
        </w:rPr>
      </w:pPr>
      <w:r w:rsidRPr="004950D4">
        <w:rPr>
          <w:rFonts w:ascii="Arial" w:hAnsi="Arial" w:cs="Arial"/>
          <w:b/>
          <w:sz w:val="24"/>
          <w:szCs w:val="24"/>
        </w:rPr>
        <w:t>Distrito de Convenciones</w:t>
      </w:r>
    </w:p>
    <w:p w:rsidR="004950D4" w:rsidRDefault="004950D4" w:rsidP="004950D4">
      <w:pPr>
        <w:pStyle w:val="ListParagraph"/>
        <w:ind w:left="1800"/>
        <w:jc w:val="both"/>
        <w:rPr>
          <w:rFonts w:ascii="Arial" w:hAnsi="Arial" w:cs="Arial"/>
          <w:sz w:val="24"/>
          <w:szCs w:val="24"/>
        </w:rPr>
      </w:pPr>
    </w:p>
    <w:p w:rsidR="004950D4" w:rsidRDefault="004950D4" w:rsidP="004950D4">
      <w:pPr>
        <w:pStyle w:val="ListParagraph"/>
        <w:ind w:left="1800"/>
        <w:jc w:val="both"/>
        <w:rPr>
          <w:rFonts w:ascii="Arial" w:hAnsi="Arial" w:cs="Arial"/>
          <w:sz w:val="24"/>
          <w:szCs w:val="24"/>
        </w:rPr>
      </w:pPr>
      <w:r>
        <w:rPr>
          <w:rFonts w:ascii="Arial" w:hAnsi="Arial" w:cs="Arial"/>
          <w:sz w:val="24"/>
          <w:szCs w:val="24"/>
        </w:rPr>
        <w:t xml:space="preserve">El Hotel Hyatt </w:t>
      </w:r>
      <w:proofErr w:type="spellStart"/>
      <w:r>
        <w:rPr>
          <w:rFonts w:ascii="Arial" w:hAnsi="Arial" w:cs="Arial"/>
          <w:sz w:val="24"/>
          <w:szCs w:val="24"/>
        </w:rPr>
        <w:t>House</w:t>
      </w:r>
      <w:proofErr w:type="spellEnd"/>
      <w:r>
        <w:rPr>
          <w:rFonts w:ascii="Arial" w:hAnsi="Arial" w:cs="Arial"/>
          <w:sz w:val="24"/>
          <w:szCs w:val="24"/>
        </w:rPr>
        <w:t xml:space="preserve"> abrió al </w:t>
      </w:r>
      <w:r w:rsidR="00581048">
        <w:rPr>
          <w:rFonts w:ascii="Arial" w:hAnsi="Arial" w:cs="Arial"/>
          <w:sz w:val="24"/>
          <w:szCs w:val="24"/>
        </w:rPr>
        <w:t>público</w:t>
      </w:r>
      <w:r>
        <w:rPr>
          <w:rFonts w:ascii="Arial" w:hAnsi="Arial" w:cs="Arial"/>
          <w:sz w:val="24"/>
          <w:szCs w:val="24"/>
        </w:rPr>
        <w:t xml:space="preserve"> en octubre, 2014 con 126 habitaciones y una inversión de $28.7 millones. Total empleos generados durante construcción y operación: 518</w:t>
      </w:r>
    </w:p>
    <w:p w:rsidR="004950D4" w:rsidRDefault="004950D4" w:rsidP="004950D4">
      <w:pPr>
        <w:pStyle w:val="ListParagraph"/>
        <w:ind w:left="1800"/>
        <w:jc w:val="both"/>
        <w:rPr>
          <w:rFonts w:ascii="Arial" w:hAnsi="Arial" w:cs="Arial"/>
          <w:sz w:val="24"/>
          <w:szCs w:val="24"/>
        </w:rPr>
      </w:pPr>
    </w:p>
    <w:p w:rsidR="004950D4" w:rsidRDefault="004950D4" w:rsidP="004950D4">
      <w:pPr>
        <w:pStyle w:val="ListParagraph"/>
        <w:ind w:left="1800"/>
        <w:jc w:val="both"/>
        <w:rPr>
          <w:rFonts w:ascii="Arial" w:hAnsi="Arial" w:cs="Arial"/>
          <w:sz w:val="24"/>
          <w:szCs w:val="24"/>
        </w:rPr>
      </w:pPr>
      <w:r>
        <w:rPr>
          <w:rFonts w:ascii="Arial" w:hAnsi="Arial" w:cs="Arial"/>
          <w:sz w:val="24"/>
          <w:szCs w:val="24"/>
        </w:rPr>
        <w:t xml:space="preserve">El Hotel Hyatt Place abrió al </w:t>
      </w:r>
      <w:r w:rsidR="00581048">
        <w:rPr>
          <w:rFonts w:ascii="Arial" w:hAnsi="Arial" w:cs="Arial"/>
          <w:sz w:val="24"/>
          <w:szCs w:val="24"/>
        </w:rPr>
        <w:t>público</w:t>
      </w:r>
      <w:r>
        <w:rPr>
          <w:rFonts w:ascii="Arial" w:hAnsi="Arial" w:cs="Arial"/>
          <w:sz w:val="24"/>
          <w:szCs w:val="24"/>
        </w:rPr>
        <w:t xml:space="preserve"> en enero, 2016 con 149 </w:t>
      </w:r>
      <w:r w:rsidR="00581048">
        <w:rPr>
          <w:rFonts w:ascii="Arial" w:hAnsi="Arial" w:cs="Arial"/>
          <w:sz w:val="24"/>
          <w:szCs w:val="24"/>
        </w:rPr>
        <w:t>habitaciones</w:t>
      </w:r>
      <w:r>
        <w:rPr>
          <w:rFonts w:ascii="Arial" w:hAnsi="Arial" w:cs="Arial"/>
          <w:sz w:val="24"/>
          <w:szCs w:val="24"/>
        </w:rPr>
        <w:t xml:space="preserve"> y una inversión de $29.7 millones. Total de empleos generados durante construcción y operación: 586</w:t>
      </w:r>
    </w:p>
    <w:p w:rsidR="004950D4" w:rsidRDefault="004950D4" w:rsidP="004950D4">
      <w:pPr>
        <w:pStyle w:val="ListParagraph"/>
        <w:ind w:left="1800"/>
        <w:jc w:val="both"/>
        <w:rPr>
          <w:rFonts w:ascii="Arial" w:hAnsi="Arial" w:cs="Arial"/>
          <w:sz w:val="24"/>
          <w:szCs w:val="24"/>
        </w:rPr>
      </w:pPr>
    </w:p>
    <w:p w:rsidR="004950D4" w:rsidRDefault="00581048" w:rsidP="004950D4">
      <w:pPr>
        <w:pStyle w:val="ListParagraph"/>
        <w:ind w:left="1800"/>
        <w:jc w:val="both"/>
        <w:rPr>
          <w:rFonts w:ascii="Arial" w:hAnsi="Arial" w:cs="Arial"/>
          <w:sz w:val="24"/>
          <w:szCs w:val="24"/>
        </w:rPr>
      </w:pPr>
      <w:r>
        <w:rPr>
          <w:rFonts w:ascii="Arial" w:hAnsi="Arial" w:cs="Arial"/>
          <w:sz w:val="24"/>
          <w:szCs w:val="24"/>
        </w:rPr>
        <w:t>Construcción</w:t>
      </w:r>
      <w:r w:rsidR="004950D4">
        <w:rPr>
          <w:rFonts w:ascii="Arial" w:hAnsi="Arial" w:cs="Arial"/>
          <w:sz w:val="24"/>
          <w:szCs w:val="24"/>
        </w:rPr>
        <w:t xml:space="preserve"> de 2 restaurantes en área de Hoteles Hyatt con una inversión de $7 millones entre ambos. Total empleos generados durante construcción y operación: 482</w:t>
      </w:r>
    </w:p>
    <w:p w:rsidR="004950D4" w:rsidRDefault="004950D4" w:rsidP="004950D4">
      <w:pPr>
        <w:pStyle w:val="ListParagraph"/>
        <w:ind w:left="1800"/>
        <w:jc w:val="both"/>
        <w:rPr>
          <w:rFonts w:ascii="Arial" w:hAnsi="Arial" w:cs="Arial"/>
          <w:sz w:val="24"/>
          <w:szCs w:val="24"/>
        </w:rPr>
      </w:pPr>
      <w:proofErr w:type="spellStart"/>
      <w:r>
        <w:rPr>
          <w:rFonts w:ascii="Arial" w:hAnsi="Arial" w:cs="Arial"/>
          <w:sz w:val="24"/>
          <w:szCs w:val="24"/>
        </w:rPr>
        <w:t>Longhorn</w:t>
      </w:r>
      <w:proofErr w:type="spellEnd"/>
      <w:r>
        <w:rPr>
          <w:rFonts w:ascii="Arial" w:hAnsi="Arial" w:cs="Arial"/>
          <w:sz w:val="24"/>
          <w:szCs w:val="24"/>
        </w:rPr>
        <w:t xml:space="preserve"> </w:t>
      </w:r>
      <w:proofErr w:type="spellStart"/>
      <w:r>
        <w:rPr>
          <w:rFonts w:ascii="Arial" w:hAnsi="Arial" w:cs="Arial"/>
          <w:sz w:val="24"/>
          <w:szCs w:val="24"/>
        </w:rPr>
        <w:t>Steackhouse</w:t>
      </w:r>
      <w:proofErr w:type="spellEnd"/>
      <w:r>
        <w:rPr>
          <w:rFonts w:ascii="Arial" w:hAnsi="Arial" w:cs="Arial"/>
          <w:sz w:val="24"/>
          <w:szCs w:val="24"/>
        </w:rPr>
        <w:t xml:space="preserve"> – apertura 2017</w:t>
      </w:r>
    </w:p>
    <w:p w:rsidR="004950D4" w:rsidRDefault="004950D4" w:rsidP="004950D4">
      <w:pPr>
        <w:pStyle w:val="ListParagraph"/>
        <w:ind w:left="1800"/>
        <w:jc w:val="both"/>
        <w:rPr>
          <w:rFonts w:ascii="Arial" w:hAnsi="Arial" w:cs="Arial"/>
          <w:sz w:val="24"/>
          <w:szCs w:val="24"/>
        </w:rPr>
      </w:pPr>
      <w:r>
        <w:rPr>
          <w:rFonts w:ascii="Arial" w:hAnsi="Arial" w:cs="Arial"/>
          <w:sz w:val="24"/>
          <w:szCs w:val="24"/>
        </w:rPr>
        <w:t>Olive Garden – apertura finales 2016</w:t>
      </w:r>
    </w:p>
    <w:p w:rsidR="004950D4" w:rsidRDefault="004950D4" w:rsidP="004950D4">
      <w:pPr>
        <w:pStyle w:val="ListParagraph"/>
        <w:ind w:left="1800"/>
        <w:jc w:val="both"/>
        <w:rPr>
          <w:rFonts w:ascii="Arial" w:hAnsi="Arial" w:cs="Arial"/>
          <w:sz w:val="24"/>
          <w:szCs w:val="24"/>
        </w:rPr>
      </w:pPr>
    </w:p>
    <w:p w:rsidR="004950D4" w:rsidRDefault="004950D4" w:rsidP="004950D4">
      <w:pPr>
        <w:pStyle w:val="ListParagraph"/>
        <w:ind w:left="1800"/>
        <w:jc w:val="both"/>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District</w:t>
      </w:r>
      <w:proofErr w:type="spellEnd"/>
      <w:r>
        <w:rPr>
          <w:rFonts w:ascii="Arial" w:hAnsi="Arial" w:cs="Arial"/>
          <w:sz w:val="24"/>
          <w:szCs w:val="24"/>
        </w:rPr>
        <w:t xml:space="preserve"> Live &amp; </w:t>
      </w:r>
      <w:proofErr w:type="spellStart"/>
      <w:r>
        <w:rPr>
          <w:rFonts w:ascii="Arial" w:hAnsi="Arial" w:cs="Arial"/>
          <w:sz w:val="24"/>
          <w:szCs w:val="24"/>
        </w:rPr>
        <w:t>District</w:t>
      </w:r>
      <w:proofErr w:type="spellEnd"/>
      <w:r>
        <w:rPr>
          <w:rFonts w:ascii="Arial" w:hAnsi="Arial" w:cs="Arial"/>
          <w:sz w:val="24"/>
          <w:szCs w:val="24"/>
        </w:rPr>
        <w:t xml:space="preserve"> Live Hotel será un desarrollo de un centro de entretenimiento que contara con: Un teatro</w:t>
      </w:r>
      <w:r w:rsidR="00581048">
        <w:rPr>
          <w:rFonts w:ascii="Arial" w:hAnsi="Arial" w:cs="Arial"/>
          <w:sz w:val="24"/>
          <w:szCs w:val="24"/>
        </w:rPr>
        <w:t xml:space="preserve"> con capacidad de 6,000 </w:t>
      </w:r>
      <w:proofErr w:type="spellStart"/>
      <w:r w:rsidR="00581048">
        <w:rPr>
          <w:rFonts w:ascii="Arial" w:hAnsi="Arial" w:cs="Arial"/>
          <w:sz w:val="24"/>
          <w:szCs w:val="24"/>
        </w:rPr>
        <w:t>prs</w:t>
      </w:r>
      <w:proofErr w:type="spellEnd"/>
      <w:r w:rsidR="00581048">
        <w:rPr>
          <w:rFonts w:ascii="Arial" w:hAnsi="Arial" w:cs="Arial"/>
          <w:sz w:val="24"/>
          <w:szCs w:val="24"/>
        </w:rPr>
        <w:t>; 14 concesionarios comerciales y restaurantes; 8 salas de cine; áreas verdes y espacios abiertos. Inversión de $90 millones y se espera que genere 2,400 empleos directos durante un periodo de 10 años.</w:t>
      </w:r>
    </w:p>
    <w:p w:rsidR="00581048" w:rsidRDefault="00581048" w:rsidP="004950D4">
      <w:pPr>
        <w:pStyle w:val="ListParagraph"/>
        <w:ind w:left="1800"/>
        <w:jc w:val="both"/>
        <w:rPr>
          <w:rFonts w:ascii="Arial" w:hAnsi="Arial" w:cs="Arial"/>
          <w:sz w:val="24"/>
          <w:szCs w:val="24"/>
        </w:rPr>
      </w:pPr>
      <w:r>
        <w:rPr>
          <w:rFonts w:ascii="Arial" w:hAnsi="Arial" w:cs="Arial"/>
          <w:sz w:val="24"/>
          <w:szCs w:val="24"/>
        </w:rPr>
        <w:t>El hotel tendrá 225 habitaciones y será una inversión de $40 millones. Total de empleos que se espera generar durante construcción y operación: 790</w:t>
      </w:r>
    </w:p>
    <w:p w:rsidR="00581048" w:rsidRDefault="00581048" w:rsidP="004950D4">
      <w:pPr>
        <w:pStyle w:val="ListParagraph"/>
        <w:ind w:left="1800"/>
        <w:jc w:val="both"/>
        <w:rPr>
          <w:rFonts w:ascii="Arial" w:hAnsi="Arial" w:cs="Arial"/>
          <w:sz w:val="24"/>
          <w:szCs w:val="24"/>
        </w:rPr>
      </w:pPr>
    </w:p>
    <w:p w:rsidR="00581048" w:rsidRDefault="00581048" w:rsidP="004950D4">
      <w:pPr>
        <w:pStyle w:val="ListParagraph"/>
        <w:ind w:left="1800"/>
        <w:jc w:val="both"/>
        <w:rPr>
          <w:rFonts w:ascii="Arial" w:hAnsi="Arial" w:cs="Arial"/>
          <w:sz w:val="24"/>
          <w:szCs w:val="24"/>
        </w:rPr>
      </w:pPr>
      <w:r>
        <w:rPr>
          <w:rFonts w:ascii="Arial" w:hAnsi="Arial" w:cs="Arial"/>
          <w:sz w:val="24"/>
          <w:szCs w:val="24"/>
        </w:rPr>
        <w:t>Proyecto de Placas Solares; Se instalaron 19,903 placas solares en el estacionamiento del Centro de Convenciones. Están generando el 70% de la electricidad que consume el Centro de Convenciones. Inversión privada de $30 millones. En mayo 2014 El Colegio de Ingenieros y Agrimensores otorgo premio al proyecto en la categoría de Excelencia Eléctrica y Ambiental.</w:t>
      </w:r>
    </w:p>
    <w:p w:rsidR="00864A28" w:rsidRDefault="00864A28" w:rsidP="004950D4">
      <w:pPr>
        <w:pStyle w:val="ListParagraph"/>
        <w:ind w:left="1800"/>
        <w:jc w:val="both"/>
        <w:rPr>
          <w:rFonts w:ascii="Arial" w:hAnsi="Arial" w:cs="Arial"/>
          <w:sz w:val="24"/>
          <w:szCs w:val="24"/>
        </w:rPr>
      </w:pPr>
    </w:p>
    <w:p w:rsidR="00581048" w:rsidRDefault="00581048" w:rsidP="00581048">
      <w:pPr>
        <w:pStyle w:val="ListParagraph"/>
        <w:numPr>
          <w:ilvl w:val="0"/>
          <w:numId w:val="4"/>
        </w:numPr>
        <w:jc w:val="both"/>
        <w:rPr>
          <w:rFonts w:ascii="Arial" w:hAnsi="Arial" w:cs="Arial"/>
          <w:b/>
          <w:sz w:val="24"/>
          <w:szCs w:val="24"/>
        </w:rPr>
      </w:pPr>
      <w:r w:rsidRPr="00581048">
        <w:rPr>
          <w:rFonts w:ascii="Arial" w:hAnsi="Arial" w:cs="Arial"/>
          <w:b/>
          <w:sz w:val="24"/>
          <w:szCs w:val="24"/>
        </w:rPr>
        <w:t>Bahía Urbana</w:t>
      </w:r>
    </w:p>
    <w:p w:rsidR="00063C98" w:rsidRDefault="00063C98" w:rsidP="00063C98">
      <w:pPr>
        <w:pStyle w:val="ListParagraph"/>
        <w:ind w:left="1800"/>
        <w:jc w:val="both"/>
        <w:rPr>
          <w:rFonts w:ascii="Arial" w:hAnsi="Arial" w:cs="Arial"/>
          <w:b/>
          <w:sz w:val="24"/>
          <w:szCs w:val="24"/>
        </w:rPr>
      </w:pPr>
    </w:p>
    <w:p w:rsidR="00581048" w:rsidRDefault="00063C98" w:rsidP="00581048">
      <w:pPr>
        <w:pStyle w:val="ListParagraph"/>
        <w:ind w:left="1800"/>
        <w:jc w:val="both"/>
        <w:rPr>
          <w:rFonts w:ascii="Arial" w:hAnsi="Arial" w:cs="Arial"/>
          <w:sz w:val="24"/>
          <w:szCs w:val="24"/>
        </w:rPr>
      </w:pPr>
      <w:r>
        <w:rPr>
          <w:rFonts w:ascii="Arial" w:hAnsi="Arial" w:cs="Arial"/>
          <w:sz w:val="24"/>
          <w:szCs w:val="24"/>
        </w:rPr>
        <w:t>El proyecto fue inaugurado en mayo, 2013 con una inversión (entre Muelle 7 y 8) de $40 millones. El espacio incluye un restaurante con vista a la bahía de San Juan; una Playa Urbana con fuentes de agua y arena diseñada para el disfrute de los niños y un anfiteatro al aire libre para disfrutar de festivales musicales.</w:t>
      </w:r>
    </w:p>
    <w:p w:rsidR="00B94F7A" w:rsidRDefault="00B94F7A" w:rsidP="00581048">
      <w:pPr>
        <w:pStyle w:val="ListParagraph"/>
        <w:ind w:left="1800"/>
        <w:jc w:val="both"/>
        <w:rPr>
          <w:rFonts w:ascii="Arial" w:hAnsi="Arial" w:cs="Arial"/>
          <w:sz w:val="24"/>
          <w:szCs w:val="24"/>
        </w:rPr>
      </w:pPr>
    </w:p>
    <w:p w:rsidR="00063C98" w:rsidRDefault="00063C98" w:rsidP="00581048">
      <w:pPr>
        <w:pStyle w:val="ListParagraph"/>
        <w:ind w:left="1800"/>
        <w:jc w:val="both"/>
        <w:rPr>
          <w:rFonts w:ascii="Arial" w:hAnsi="Arial" w:cs="Arial"/>
          <w:sz w:val="24"/>
          <w:szCs w:val="24"/>
        </w:rPr>
      </w:pPr>
    </w:p>
    <w:p w:rsidR="00063C98" w:rsidRPr="008236C7" w:rsidRDefault="00063C98" w:rsidP="00063C98">
      <w:pPr>
        <w:pStyle w:val="ListParagraph"/>
        <w:numPr>
          <w:ilvl w:val="0"/>
          <w:numId w:val="4"/>
        </w:numPr>
        <w:jc w:val="both"/>
        <w:rPr>
          <w:rFonts w:ascii="Arial" w:hAnsi="Arial" w:cs="Arial"/>
          <w:b/>
          <w:sz w:val="24"/>
          <w:szCs w:val="24"/>
        </w:rPr>
      </w:pPr>
      <w:r w:rsidRPr="008236C7">
        <w:rPr>
          <w:rFonts w:ascii="Arial" w:hAnsi="Arial" w:cs="Arial"/>
          <w:b/>
          <w:sz w:val="24"/>
          <w:szCs w:val="24"/>
        </w:rPr>
        <w:lastRenderedPageBreak/>
        <w:t>Centro de Convenciones</w:t>
      </w:r>
    </w:p>
    <w:p w:rsidR="00063C98" w:rsidRDefault="00063C98" w:rsidP="00063C98">
      <w:pPr>
        <w:pStyle w:val="ListParagraph"/>
        <w:ind w:left="1800"/>
        <w:jc w:val="both"/>
        <w:rPr>
          <w:rFonts w:ascii="Arial" w:hAnsi="Arial" w:cs="Arial"/>
          <w:sz w:val="24"/>
          <w:szCs w:val="24"/>
        </w:rPr>
      </w:pPr>
    </w:p>
    <w:p w:rsidR="00063C98" w:rsidRDefault="00063C98" w:rsidP="00063C98">
      <w:pPr>
        <w:pStyle w:val="ListParagraph"/>
        <w:ind w:left="1800"/>
        <w:jc w:val="both"/>
        <w:rPr>
          <w:rFonts w:ascii="Arial" w:hAnsi="Arial" w:cs="Arial"/>
          <w:sz w:val="24"/>
          <w:szCs w:val="24"/>
        </w:rPr>
      </w:pPr>
      <w:r>
        <w:rPr>
          <w:rFonts w:ascii="Arial" w:hAnsi="Arial" w:cs="Arial"/>
          <w:sz w:val="24"/>
          <w:szCs w:val="24"/>
        </w:rPr>
        <w:t>E</w:t>
      </w:r>
      <w:r w:rsidR="00C8472D">
        <w:rPr>
          <w:rFonts w:ascii="Arial" w:hAnsi="Arial" w:cs="Arial"/>
          <w:sz w:val="24"/>
          <w:szCs w:val="24"/>
        </w:rPr>
        <w:t>l Centro de Convenciones celebró</w:t>
      </w:r>
      <w:r>
        <w:rPr>
          <w:rFonts w:ascii="Arial" w:hAnsi="Arial" w:cs="Arial"/>
          <w:sz w:val="24"/>
          <w:szCs w:val="24"/>
        </w:rPr>
        <w:t xml:space="preserve"> sus 10 años de apertura en noviembre,</w:t>
      </w:r>
      <w:r w:rsidR="00C8472D">
        <w:rPr>
          <w:rFonts w:ascii="Arial" w:hAnsi="Arial" w:cs="Arial"/>
          <w:sz w:val="24"/>
          <w:szCs w:val="24"/>
        </w:rPr>
        <w:t xml:space="preserve"> 2015. Durante el periodo de 2013 a julio de 2016</w:t>
      </w:r>
      <w:r w:rsidR="00D15BB2">
        <w:rPr>
          <w:rFonts w:ascii="Arial" w:hAnsi="Arial" w:cs="Arial"/>
          <w:sz w:val="24"/>
          <w:szCs w:val="24"/>
        </w:rPr>
        <w:t xml:space="preserve">, </w:t>
      </w:r>
      <w:r w:rsidR="00C8472D">
        <w:rPr>
          <w:rFonts w:ascii="Arial" w:hAnsi="Arial" w:cs="Arial"/>
          <w:sz w:val="24"/>
          <w:szCs w:val="24"/>
        </w:rPr>
        <w:t xml:space="preserve"> se realizaron sobre 1,400 eventos con una asistencia de sobre 2 millones de personas. </w:t>
      </w:r>
    </w:p>
    <w:p w:rsidR="008236C7" w:rsidRDefault="008236C7" w:rsidP="00063C98">
      <w:pPr>
        <w:pStyle w:val="ListParagraph"/>
        <w:ind w:left="1800"/>
        <w:jc w:val="both"/>
        <w:rPr>
          <w:rFonts w:ascii="Arial" w:hAnsi="Arial" w:cs="Arial"/>
          <w:sz w:val="24"/>
          <w:szCs w:val="24"/>
        </w:rPr>
      </w:pPr>
    </w:p>
    <w:p w:rsidR="008236C7" w:rsidRDefault="008236C7" w:rsidP="00063C98">
      <w:pPr>
        <w:pStyle w:val="ListParagraph"/>
        <w:ind w:left="1800"/>
        <w:jc w:val="both"/>
        <w:rPr>
          <w:rFonts w:ascii="Arial" w:hAnsi="Arial" w:cs="Arial"/>
          <w:sz w:val="24"/>
          <w:szCs w:val="24"/>
        </w:rPr>
      </w:pPr>
      <w:r>
        <w:rPr>
          <w:rFonts w:ascii="Arial" w:hAnsi="Arial" w:cs="Arial"/>
          <w:sz w:val="24"/>
          <w:szCs w:val="24"/>
        </w:rPr>
        <w:t xml:space="preserve">Entre las convenciones </w:t>
      </w:r>
      <w:r w:rsidR="00CA04CC">
        <w:rPr>
          <w:rFonts w:ascii="Arial" w:hAnsi="Arial" w:cs="Arial"/>
          <w:sz w:val="24"/>
          <w:szCs w:val="24"/>
        </w:rPr>
        <w:t xml:space="preserve">y visitas </w:t>
      </w:r>
      <w:r>
        <w:rPr>
          <w:rFonts w:ascii="Arial" w:hAnsi="Arial" w:cs="Arial"/>
          <w:sz w:val="24"/>
          <w:szCs w:val="24"/>
        </w:rPr>
        <w:t xml:space="preserve">de importancia se mencionan: Congregación Cristiana de Testigos de Jehová con una asistencia de 14,000 personas; El Congreso Internacional de la Lengua Española (CILE 2016) con la visita de los Reyes de </w:t>
      </w:r>
      <w:r w:rsidR="00CA04CC">
        <w:rPr>
          <w:rFonts w:ascii="Arial" w:hAnsi="Arial" w:cs="Arial"/>
          <w:sz w:val="24"/>
          <w:szCs w:val="24"/>
        </w:rPr>
        <w:t xml:space="preserve">España; La Convención anual de </w:t>
      </w:r>
      <w:proofErr w:type="spellStart"/>
      <w:r w:rsidR="00CA04CC">
        <w:rPr>
          <w:rFonts w:ascii="Arial" w:hAnsi="Arial" w:cs="Arial"/>
          <w:sz w:val="24"/>
          <w:szCs w:val="24"/>
        </w:rPr>
        <w:t>Best</w:t>
      </w:r>
      <w:proofErr w:type="spellEnd"/>
      <w:r w:rsidR="00CA04CC">
        <w:rPr>
          <w:rFonts w:ascii="Arial" w:hAnsi="Arial" w:cs="Arial"/>
          <w:sz w:val="24"/>
          <w:szCs w:val="24"/>
        </w:rPr>
        <w:t xml:space="preserve"> </w:t>
      </w:r>
      <w:proofErr w:type="spellStart"/>
      <w:r w:rsidR="00CA04CC">
        <w:rPr>
          <w:rFonts w:ascii="Arial" w:hAnsi="Arial" w:cs="Arial"/>
          <w:sz w:val="24"/>
          <w:szCs w:val="24"/>
        </w:rPr>
        <w:t>Buy</w:t>
      </w:r>
      <w:proofErr w:type="spellEnd"/>
      <w:r w:rsidR="00CA04CC">
        <w:rPr>
          <w:rFonts w:ascii="Arial" w:hAnsi="Arial" w:cs="Arial"/>
          <w:sz w:val="24"/>
          <w:szCs w:val="24"/>
        </w:rPr>
        <w:t>; La visita del Presidente de República Dominicana para firma de un acuerdo económico con Puerto rico, entre otras.</w:t>
      </w:r>
    </w:p>
    <w:p w:rsidR="00CA04CC" w:rsidRDefault="00CA04CC" w:rsidP="00063C98">
      <w:pPr>
        <w:pStyle w:val="ListParagraph"/>
        <w:ind w:left="1800"/>
        <w:jc w:val="both"/>
        <w:rPr>
          <w:rFonts w:ascii="Arial" w:hAnsi="Arial" w:cs="Arial"/>
          <w:sz w:val="24"/>
          <w:szCs w:val="24"/>
        </w:rPr>
      </w:pPr>
    </w:p>
    <w:p w:rsidR="00CA04CC" w:rsidRDefault="00CA04CC" w:rsidP="00063C98">
      <w:pPr>
        <w:pStyle w:val="ListParagraph"/>
        <w:ind w:left="1800"/>
        <w:jc w:val="both"/>
        <w:rPr>
          <w:rFonts w:ascii="Arial" w:hAnsi="Arial" w:cs="Arial"/>
          <w:sz w:val="24"/>
          <w:szCs w:val="24"/>
        </w:rPr>
      </w:pPr>
      <w:r>
        <w:rPr>
          <w:rFonts w:ascii="Arial" w:hAnsi="Arial" w:cs="Arial"/>
          <w:sz w:val="24"/>
          <w:szCs w:val="24"/>
        </w:rPr>
        <w:t>Desde enero 2013 hasta octubre de 2016 se han generado 81,140 noches de habitaciones del hotel por actividades realizadas en el Centro de Convenciones.</w:t>
      </w:r>
    </w:p>
    <w:p w:rsidR="00864A28" w:rsidRDefault="00864A28" w:rsidP="00063C98">
      <w:pPr>
        <w:pStyle w:val="ListParagraph"/>
        <w:ind w:left="1800"/>
        <w:jc w:val="both"/>
        <w:rPr>
          <w:rFonts w:ascii="Arial" w:hAnsi="Arial" w:cs="Arial"/>
          <w:sz w:val="24"/>
          <w:szCs w:val="24"/>
        </w:rPr>
      </w:pPr>
    </w:p>
    <w:p w:rsidR="00864A28" w:rsidRDefault="00864A28" w:rsidP="00063C98">
      <w:pPr>
        <w:pStyle w:val="ListParagraph"/>
        <w:ind w:left="1800"/>
        <w:jc w:val="both"/>
        <w:rPr>
          <w:rFonts w:ascii="Arial" w:hAnsi="Arial" w:cs="Arial"/>
          <w:sz w:val="24"/>
          <w:szCs w:val="24"/>
        </w:rPr>
      </w:pPr>
      <w:r>
        <w:rPr>
          <w:rFonts w:ascii="Arial" w:hAnsi="Arial" w:cs="Arial"/>
          <w:sz w:val="24"/>
          <w:szCs w:val="24"/>
        </w:rPr>
        <w:t>Entre 2013 y septiembre 2016 se ha generado alrededor de $33 millones por concepto de alquiler y otros ingresos (Incluyendo Antiguo Casino).</w:t>
      </w:r>
    </w:p>
    <w:p w:rsidR="00B62009" w:rsidRDefault="00B62009" w:rsidP="00063C98">
      <w:pPr>
        <w:pStyle w:val="ListParagraph"/>
        <w:ind w:left="1800"/>
        <w:jc w:val="both"/>
        <w:rPr>
          <w:rFonts w:ascii="Arial" w:hAnsi="Arial" w:cs="Arial"/>
          <w:sz w:val="24"/>
          <w:szCs w:val="24"/>
        </w:rPr>
      </w:pPr>
    </w:p>
    <w:p w:rsidR="00B62009" w:rsidRDefault="00B62009" w:rsidP="00063C98">
      <w:pPr>
        <w:pStyle w:val="ListParagraph"/>
        <w:ind w:left="1800"/>
        <w:jc w:val="both"/>
        <w:rPr>
          <w:rFonts w:ascii="Arial" w:hAnsi="Arial" w:cs="Arial"/>
          <w:sz w:val="24"/>
          <w:szCs w:val="24"/>
        </w:rPr>
      </w:pPr>
      <w:r>
        <w:rPr>
          <w:rFonts w:ascii="Arial" w:hAnsi="Arial" w:cs="Arial"/>
          <w:sz w:val="24"/>
          <w:szCs w:val="24"/>
        </w:rPr>
        <w:t>Entre los reconocimientos que ha obtenido el Centro de Convenciones se encuentran los siguientes:</w:t>
      </w:r>
    </w:p>
    <w:p w:rsidR="00B62009" w:rsidRDefault="00B62009" w:rsidP="00063C98">
      <w:pPr>
        <w:pStyle w:val="ListParagraph"/>
        <w:ind w:left="1800"/>
        <w:jc w:val="both"/>
        <w:rPr>
          <w:rFonts w:ascii="Arial" w:hAnsi="Arial" w:cs="Arial"/>
          <w:sz w:val="24"/>
          <w:szCs w:val="24"/>
        </w:rPr>
      </w:pPr>
    </w:p>
    <w:p w:rsidR="00B62009" w:rsidRDefault="00B62009" w:rsidP="00063C98">
      <w:pPr>
        <w:pStyle w:val="ListParagraph"/>
        <w:ind w:left="1800"/>
        <w:jc w:val="both"/>
        <w:rPr>
          <w:rFonts w:ascii="Arial" w:hAnsi="Arial" w:cs="Arial"/>
          <w:sz w:val="24"/>
          <w:szCs w:val="24"/>
          <w:lang w:val="en-US"/>
        </w:rPr>
      </w:pPr>
      <w:r w:rsidRPr="00B62009">
        <w:rPr>
          <w:rFonts w:ascii="Arial" w:hAnsi="Arial" w:cs="Arial"/>
          <w:sz w:val="24"/>
          <w:szCs w:val="24"/>
          <w:lang w:val="en-US"/>
        </w:rPr>
        <w:t>Inner Circle Award Recipient from Associations Meetings (2013)</w:t>
      </w:r>
    </w:p>
    <w:p w:rsidR="00B62009" w:rsidRPr="00B62009" w:rsidRDefault="00B62009" w:rsidP="00063C98">
      <w:pPr>
        <w:pStyle w:val="ListParagraph"/>
        <w:ind w:left="1800"/>
        <w:jc w:val="both"/>
        <w:rPr>
          <w:rFonts w:ascii="Arial" w:hAnsi="Arial" w:cs="Arial"/>
          <w:sz w:val="24"/>
          <w:szCs w:val="24"/>
          <w:lang w:val="en-US"/>
        </w:rPr>
      </w:pPr>
    </w:p>
    <w:p w:rsidR="00B62009" w:rsidRDefault="00B62009" w:rsidP="00063C98">
      <w:pPr>
        <w:pStyle w:val="ListParagraph"/>
        <w:ind w:left="1800"/>
        <w:jc w:val="both"/>
        <w:rPr>
          <w:rFonts w:ascii="Arial" w:hAnsi="Arial" w:cs="Arial"/>
          <w:sz w:val="24"/>
          <w:szCs w:val="24"/>
          <w:lang w:val="en-US"/>
        </w:rPr>
      </w:pPr>
      <w:r>
        <w:rPr>
          <w:rFonts w:ascii="Arial" w:hAnsi="Arial" w:cs="Arial"/>
          <w:sz w:val="24"/>
          <w:szCs w:val="24"/>
          <w:lang w:val="en-US"/>
        </w:rPr>
        <w:t>Prime Site from facilities &amp; Destinations (2013-2014-2015-2016)</w:t>
      </w:r>
    </w:p>
    <w:p w:rsidR="00B62009" w:rsidRDefault="00B62009" w:rsidP="00063C98">
      <w:pPr>
        <w:pStyle w:val="ListParagraph"/>
        <w:ind w:left="1800"/>
        <w:jc w:val="both"/>
        <w:rPr>
          <w:rFonts w:ascii="Arial" w:hAnsi="Arial" w:cs="Arial"/>
          <w:sz w:val="24"/>
          <w:szCs w:val="24"/>
          <w:lang w:val="en-US"/>
        </w:rPr>
      </w:pPr>
    </w:p>
    <w:p w:rsidR="00B62009" w:rsidRDefault="00B62009" w:rsidP="00063C98">
      <w:pPr>
        <w:pStyle w:val="ListParagraph"/>
        <w:ind w:left="1800"/>
        <w:jc w:val="both"/>
        <w:rPr>
          <w:rFonts w:ascii="Arial" w:hAnsi="Arial" w:cs="Arial"/>
          <w:sz w:val="24"/>
          <w:szCs w:val="24"/>
          <w:lang w:val="en-US"/>
        </w:rPr>
      </w:pPr>
      <w:r>
        <w:rPr>
          <w:rFonts w:ascii="Arial" w:hAnsi="Arial" w:cs="Arial"/>
          <w:sz w:val="24"/>
          <w:szCs w:val="24"/>
          <w:lang w:val="en-US"/>
        </w:rPr>
        <w:t>World’s Top Convention Centers from Trade Show Executives Magazine (2013)</w:t>
      </w:r>
    </w:p>
    <w:p w:rsidR="00B62009" w:rsidRDefault="00B62009" w:rsidP="00063C98">
      <w:pPr>
        <w:pStyle w:val="ListParagraph"/>
        <w:ind w:left="1800"/>
        <w:jc w:val="both"/>
        <w:rPr>
          <w:rFonts w:ascii="Arial" w:hAnsi="Arial" w:cs="Arial"/>
          <w:sz w:val="24"/>
          <w:szCs w:val="24"/>
          <w:lang w:val="en-US"/>
        </w:rPr>
      </w:pPr>
    </w:p>
    <w:p w:rsidR="00B62009" w:rsidRDefault="00B62009" w:rsidP="00063C98">
      <w:pPr>
        <w:pStyle w:val="ListParagraph"/>
        <w:ind w:left="1800"/>
        <w:jc w:val="both"/>
        <w:rPr>
          <w:rFonts w:ascii="Arial" w:hAnsi="Arial" w:cs="Arial"/>
          <w:sz w:val="24"/>
          <w:szCs w:val="24"/>
          <w:lang w:val="en-US"/>
        </w:rPr>
      </w:pPr>
      <w:r>
        <w:rPr>
          <w:rFonts w:ascii="Arial" w:hAnsi="Arial" w:cs="Arial"/>
          <w:sz w:val="24"/>
          <w:szCs w:val="24"/>
          <w:lang w:val="en-US"/>
        </w:rPr>
        <w:t>2015 Hot List of “The South’s 101 Largest Expo Halls”.</w:t>
      </w:r>
    </w:p>
    <w:p w:rsidR="00B62009" w:rsidRDefault="00B62009" w:rsidP="00063C98">
      <w:pPr>
        <w:pStyle w:val="ListParagraph"/>
        <w:ind w:left="1800"/>
        <w:jc w:val="both"/>
        <w:rPr>
          <w:rFonts w:ascii="Arial" w:hAnsi="Arial" w:cs="Arial"/>
          <w:sz w:val="24"/>
          <w:szCs w:val="24"/>
          <w:lang w:val="en-US"/>
        </w:rPr>
      </w:pPr>
    </w:p>
    <w:p w:rsidR="00B62009" w:rsidRDefault="00B62009" w:rsidP="00063C98">
      <w:pPr>
        <w:pStyle w:val="ListParagraph"/>
        <w:ind w:left="1800"/>
        <w:jc w:val="both"/>
        <w:rPr>
          <w:rFonts w:ascii="Arial" w:hAnsi="Arial" w:cs="Arial"/>
          <w:sz w:val="24"/>
          <w:szCs w:val="24"/>
        </w:rPr>
      </w:pPr>
      <w:r w:rsidRPr="00B62009">
        <w:rPr>
          <w:rFonts w:ascii="Arial" w:hAnsi="Arial" w:cs="Arial"/>
          <w:sz w:val="24"/>
          <w:szCs w:val="24"/>
        </w:rPr>
        <w:t>Proyecto del año en la Categoría del Excelencia Eléctrica y Ambiental otorgado por CIAPR (2014)</w:t>
      </w:r>
    </w:p>
    <w:p w:rsidR="00B94F7A" w:rsidRDefault="00B94F7A" w:rsidP="00063C98">
      <w:pPr>
        <w:pStyle w:val="ListParagraph"/>
        <w:ind w:left="1800"/>
        <w:jc w:val="both"/>
        <w:rPr>
          <w:rFonts w:ascii="Arial" w:hAnsi="Arial" w:cs="Arial"/>
          <w:sz w:val="24"/>
          <w:szCs w:val="24"/>
        </w:rPr>
      </w:pPr>
      <w:bookmarkStart w:id="0" w:name="_GoBack"/>
      <w:bookmarkEnd w:id="0"/>
    </w:p>
    <w:p w:rsidR="00864A28" w:rsidRDefault="00864A28" w:rsidP="00864A28">
      <w:pPr>
        <w:pStyle w:val="ListParagraph"/>
        <w:numPr>
          <w:ilvl w:val="0"/>
          <w:numId w:val="4"/>
        </w:numPr>
        <w:jc w:val="both"/>
        <w:rPr>
          <w:rFonts w:ascii="Arial" w:hAnsi="Arial" w:cs="Arial"/>
          <w:b/>
          <w:sz w:val="24"/>
          <w:szCs w:val="24"/>
        </w:rPr>
      </w:pPr>
      <w:r w:rsidRPr="00864A28">
        <w:rPr>
          <w:rFonts w:ascii="Arial" w:hAnsi="Arial" w:cs="Arial"/>
          <w:b/>
          <w:sz w:val="24"/>
          <w:szCs w:val="24"/>
        </w:rPr>
        <w:t>Coliseo de Puerto Rico</w:t>
      </w:r>
    </w:p>
    <w:p w:rsidR="006C405B" w:rsidRDefault="006C405B" w:rsidP="006C405B">
      <w:pPr>
        <w:pStyle w:val="ListParagraph"/>
        <w:ind w:left="1800"/>
        <w:jc w:val="both"/>
        <w:rPr>
          <w:rFonts w:ascii="Arial" w:hAnsi="Arial" w:cs="Arial"/>
          <w:b/>
          <w:sz w:val="24"/>
          <w:szCs w:val="24"/>
        </w:rPr>
      </w:pPr>
    </w:p>
    <w:p w:rsidR="006C405B" w:rsidRDefault="00D15BB2" w:rsidP="006C405B">
      <w:pPr>
        <w:pStyle w:val="ListParagraph"/>
        <w:ind w:left="1800"/>
        <w:jc w:val="both"/>
        <w:rPr>
          <w:rFonts w:ascii="Arial" w:hAnsi="Arial" w:cs="Arial"/>
          <w:sz w:val="24"/>
          <w:szCs w:val="24"/>
        </w:rPr>
      </w:pPr>
      <w:r w:rsidRPr="00D15BB2">
        <w:rPr>
          <w:rFonts w:ascii="Arial" w:hAnsi="Arial" w:cs="Arial"/>
          <w:sz w:val="24"/>
          <w:szCs w:val="24"/>
        </w:rPr>
        <w:t>El Coliseo de Puerto Rico celebr</w:t>
      </w:r>
      <w:r>
        <w:rPr>
          <w:rFonts w:ascii="Arial" w:hAnsi="Arial" w:cs="Arial"/>
          <w:sz w:val="24"/>
          <w:szCs w:val="24"/>
        </w:rPr>
        <w:t>ó sus 10 años a mediados del 2014. Durante el período de 2013 a septiembre 2016, se celebraron 243 eventos con una asistencia de casi 2 millones de personas.</w:t>
      </w:r>
    </w:p>
    <w:p w:rsidR="00D15BB2" w:rsidRDefault="00D15BB2" w:rsidP="006C405B">
      <w:pPr>
        <w:pStyle w:val="ListParagraph"/>
        <w:ind w:left="1800"/>
        <w:jc w:val="both"/>
        <w:rPr>
          <w:rFonts w:ascii="Arial" w:hAnsi="Arial" w:cs="Arial"/>
          <w:sz w:val="24"/>
          <w:szCs w:val="24"/>
        </w:rPr>
      </w:pPr>
    </w:p>
    <w:p w:rsidR="00D15BB2" w:rsidRDefault="00D15BB2" w:rsidP="006C405B">
      <w:pPr>
        <w:pStyle w:val="ListParagraph"/>
        <w:ind w:left="1800"/>
        <w:jc w:val="both"/>
        <w:rPr>
          <w:rFonts w:ascii="Arial" w:hAnsi="Arial" w:cs="Arial"/>
          <w:sz w:val="24"/>
          <w:szCs w:val="24"/>
        </w:rPr>
      </w:pPr>
      <w:r>
        <w:rPr>
          <w:rFonts w:ascii="Arial" w:hAnsi="Arial" w:cs="Arial"/>
          <w:sz w:val="24"/>
          <w:szCs w:val="24"/>
        </w:rPr>
        <w:lastRenderedPageBreak/>
        <w:t xml:space="preserve">Entre los conciertos más destacados que se realizaron durante el periodo de 2013 al 2016 sobresalen: Bruno </w:t>
      </w:r>
      <w:proofErr w:type="spellStart"/>
      <w:r>
        <w:rPr>
          <w:rFonts w:ascii="Arial" w:hAnsi="Arial" w:cs="Arial"/>
          <w:sz w:val="24"/>
          <w:szCs w:val="24"/>
        </w:rPr>
        <w:t>Mars</w:t>
      </w:r>
      <w:proofErr w:type="spellEnd"/>
      <w:r>
        <w:rPr>
          <w:rFonts w:ascii="Arial" w:hAnsi="Arial" w:cs="Arial"/>
          <w:sz w:val="24"/>
          <w:szCs w:val="24"/>
        </w:rPr>
        <w:t xml:space="preserve">, </w:t>
      </w:r>
      <w:proofErr w:type="spellStart"/>
      <w:r>
        <w:rPr>
          <w:rFonts w:ascii="Arial" w:hAnsi="Arial" w:cs="Arial"/>
          <w:sz w:val="24"/>
          <w:szCs w:val="24"/>
        </w:rPr>
        <w:t>Daddy</w:t>
      </w:r>
      <w:proofErr w:type="spellEnd"/>
      <w:r>
        <w:rPr>
          <w:rFonts w:ascii="Arial" w:hAnsi="Arial" w:cs="Arial"/>
          <w:sz w:val="24"/>
          <w:szCs w:val="24"/>
        </w:rPr>
        <w:t xml:space="preserve"> </w:t>
      </w:r>
      <w:proofErr w:type="spellStart"/>
      <w:r>
        <w:rPr>
          <w:rFonts w:ascii="Arial" w:hAnsi="Arial" w:cs="Arial"/>
          <w:sz w:val="24"/>
          <w:szCs w:val="24"/>
        </w:rPr>
        <w:t>Yankee</w:t>
      </w:r>
      <w:proofErr w:type="spellEnd"/>
      <w:r>
        <w:rPr>
          <w:rFonts w:ascii="Arial" w:hAnsi="Arial" w:cs="Arial"/>
          <w:sz w:val="24"/>
          <w:szCs w:val="24"/>
        </w:rPr>
        <w:t xml:space="preserve"> &amp; Don Omar con sobre 14,000 boletos vendidos en cada concierto, </w:t>
      </w:r>
      <w:proofErr w:type="spellStart"/>
      <w:r>
        <w:rPr>
          <w:rFonts w:ascii="Arial" w:hAnsi="Arial" w:cs="Arial"/>
          <w:sz w:val="24"/>
          <w:szCs w:val="24"/>
        </w:rPr>
        <w:t>Beyonce</w:t>
      </w:r>
      <w:proofErr w:type="spellEnd"/>
      <w:r>
        <w:rPr>
          <w:rFonts w:ascii="Arial" w:hAnsi="Arial" w:cs="Arial"/>
          <w:sz w:val="24"/>
          <w:szCs w:val="24"/>
        </w:rPr>
        <w:t>,</w:t>
      </w:r>
      <w:r w:rsidR="009E340C">
        <w:rPr>
          <w:rFonts w:ascii="Arial" w:hAnsi="Arial" w:cs="Arial"/>
          <w:sz w:val="24"/>
          <w:szCs w:val="24"/>
        </w:rPr>
        <w:t xml:space="preserve"> Justin Bieber, Juan Gabriel, Ednita Nazario, Madonna, Juan Luis Guerra, entre otros.</w:t>
      </w:r>
      <w:r w:rsidR="00041C07">
        <w:rPr>
          <w:rFonts w:ascii="Arial" w:hAnsi="Arial" w:cs="Arial"/>
          <w:sz w:val="24"/>
          <w:szCs w:val="24"/>
        </w:rPr>
        <w:t xml:space="preserve"> Los ingresos en renta y contratos alcanzaron la cifra de $50 millones y sobre $11 millones en partidas de alimentos y bebidas.</w:t>
      </w:r>
    </w:p>
    <w:p w:rsidR="009E340C" w:rsidRDefault="009E340C" w:rsidP="006C405B">
      <w:pPr>
        <w:pStyle w:val="ListParagraph"/>
        <w:ind w:left="1800"/>
        <w:jc w:val="both"/>
        <w:rPr>
          <w:rFonts w:ascii="Arial" w:hAnsi="Arial" w:cs="Arial"/>
          <w:sz w:val="24"/>
          <w:szCs w:val="24"/>
        </w:rPr>
      </w:pPr>
    </w:p>
    <w:p w:rsidR="009E340C" w:rsidRDefault="009E340C" w:rsidP="006C405B">
      <w:pPr>
        <w:pStyle w:val="ListParagraph"/>
        <w:ind w:left="1800"/>
        <w:jc w:val="both"/>
        <w:rPr>
          <w:rFonts w:ascii="Arial" w:hAnsi="Arial" w:cs="Arial"/>
          <w:sz w:val="24"/>
          <w:szCs w:val="24"/>
        </w:rPr>
      </w:pPr>
      <w:r>
        <w:rPr>
          <w:rFonts w:ascii="Arial" w:hAnsi="Arial" w:cs="Arial"/>
          <w:sz w:val="24"/>
          <w:szCs w:val="24"/>
        </w:rPr>
        <w:t xml:space="preserve">Entre los programas que ofrece el Coliseo de Puerto Rico, se destacan el Programa VIP en donde se consiguieron 70 nuevos miembros “Club </w:t>
      </w:r>
      <w:proofErr w:type="spellStart"/>
      <w:r>
        <w:rPr>
          <w:rFonts w:ascii="Arial" w:hAnsi="Arial" w:cs="Arial"/>
          <w:sz w:val="24"/>
          <w:szCs w:val="24"/>
        </w:rPr>
        <w:t>Seats</w:t>
      </w:r>
      <w:proofErr w:type="spellEnd"/>
      <w:r>
        <w:rPr>
          <w:rFonts w:ascii="Arial" w:hAnsi="Arial" w:cs="Arial"/>
          <w:sz w:val="24"/>
          <w:szCs w:val="24"/>
        </w:rPr>
        <w:t>”  y sobre 10 nuevos arrendatarios para Suites.</w:t>
      </w:r>
    </w:p>
    <w:p w:rsidR="00041C07" w:rsidRDefault="00041C07" w:rsidP="006C405B">
      <w:pPr>
        <w:pStyle w:val="ListParagraph"/>
        <w:ind w:left="1800"/>
        <w:jc w:val="both"/>
        <w:rPr>
          <w:rFonts w:ascii="Arial" w:hAnsi="Arial" w:cs="Arial"/>
          <w:sz w:val="24"/>
          <w:szCs w:val="24"/>
        </w:rPr>
      </w:pPr>
    </w:p>
    <w:p w:rsidR="00041C07" w:rsidRDefault="00041C07" w:rsidP="006C405B">
      <w:pPr>
        <w:pStyle w:val="ListParagraph"/>
        <w:ind w:left="1800"/>
        <w:jc w:val="both"/>
        <w:rPr>
          <w:rFonts w:ascii="Arial" w:hAnsi="Arial" w:cs="Arial"/>
          <w:sz w:val="24"/>
          <w:szCs w:val="24"/>
        </w:rPr>
      </w:pPr>
      <w:r>
        <w:rPr>
          <w:rFonts w:ascii="Arial" w:hAnsi="Arial" w:cs="Arial"/>
          <w:sz w:val="24"/>
          <w:szCs w:val="24"/>
        </w:rPr>
        <w:t>A continuación algunos reconocimientos que ha tenido el Coliseo de Puerto Rico:</w:t>
      </w:r>
    </w:p>
    <w:p w:rsidR="00041C07" w:rsidRDefault="00041C07" w:rsidP="006C405B">
      <w:pPr>
        <w:pStyle w:val="ListParagraph"/>
        <w:ind w:left="1800"/>
        <w:jc w:val="both"/>
        <w:rPr>
          <w:rFonts w:ascii="Arial" w:hAnsi="Arial" w:cs="Arial"/>
          <w:sz w:val="24"/>
          <w:szCs w:val="24"/>
        </w:rPr>
      </w:pPr>
    </w:p>
    <w:p w:rsidR="00041C07" w:rsidRPr="00041C07" w:rsidRDefault="00041C07" w:rsidP="006C405B">
      <w:pPr>
        <w:pStyle w:val="ListParagraph"/>
        <w:ind w:left="1800"/>
        <w:jc w:val="both"/>
        <w:rPr>
          <w:rFonts w:ascii="Arial" w:hAnsi="Arial" w:cs="Arial"/>
          <w:sz w:val="24"/>
          <w:szCs w:val="24"/>
          <w:lang w:val="en-US"/>
        </w:rPr>
      </w:pPr>
      <w:r w:rsidRPr="00041C07">
        <w:rPr>
          <w:rFonts w:ascii="Arial" w:hAnsi="Arial" w:cs="Arial"/>
          <w:sz w:val="24"/>
          <w:szCs w:val="24"/>
          <w:lang w:val="en-US"/>
        </w:rPr>
        <w:t>2013</w:t>
      </w:r>
    </w:p>
    <w:p w:rsidR="00041C07" w:rsidRPr="00041C07" w:rsidRDefault="00041C07" w:rsidP="006C405B">
      <w:pPr>
        <w:pStyle w:val="ListParagraph"/>
        <w:ind w:left="1800"/>
        <w:jc w:val="both"/>
        <w:rPr>
          <w:rFonts w:ascii="Arial" w:hAnsi="Arial" w:cs="Arial"/>
          <w:sz w:val="24"/>
          <w:szCs w:val="24"/>
          <w:lang w:val="en-US"/>
        </w:rPr>
      </w:pPr>
      <w:proofErr w:type="spellStart"/>
      <w:r w:rsidRPr="00041C07">
        <w:rPr>
          <w:rFonts w:ascii="Arial" w:hAnsi="Arial" w:cs="Arial"/>
          <w:sz w:val="24"/>
          <w:szCs w:val="24"/>
          <w:lang w:val="en-US"/>
        </w:rPr>
        <w:t>Pollstar</w:t>
      </w:r>
      <w:proofErr w:type="spellEnd"/>
      <w:r w:rsidRPr="00041C07">
        <w:rPr>
          <w:rFonts w:ascii="Arial" w:hAnsi="Arial" w:cs="Arial"/>
          <w:sz w:val="24"/>
          <w:szCs w:val="24"/>
          <w:lang w:val="en-US"/>
        </w:rPr>
        <w:t xml:space="preserve"> #30 Top 100 Arena Venues </w:t>
      </w:r>
      <w:proofErr w:type="spellStart"/>
      <w:proofErr w:type="gramStart"/>
      <w:r w:rsidRPr="00041C07">
        <w:rPr>
          <w:rFonts w:ascii="Arial" w:hAnsi="Arial" w:cs="Arial"/>
          <w:sz w:val="24"/>
          <w:szCs w:val="24"/>
          <w:lang w:val="en-US"/>
        </w:rPr>
        <w:t>Mid</w:t>
      </w:r>
      <w:proofErr w:type="gramEnd"/>
      <w:r w:rsidRPr="00041C07">
        <w:rPr>
          <w:rFonts w:ascii="Arial" w:hAnsi="Arial" w:cs="Arial"/>
          <w:sz w:val="24"/>
          <w:szCs w:val="24"/>
          <w:lang w:val="en-US"/>
        </w:rPr>
        <w:t xml:space="preserve"> Year</w:t>
      </w:r>
      <w:proofErr w:type="spellEnd"/>
      <w:r w:rsidRPr="00041C07">
        <w:rPr>
          <w:rFonts w:ascii="Arial" w:hAnsi="Arial" w:cs="Arial"/>
          <w:sz w:val="24"/>
          <w:szCs w:val="24"/>
          <w:lang w:val="en-US"/>
        </w:rPr>
        <w:t xml:space="preserve"> Edition</w:t>
      </w:r>
    </w:p>
    <w:p w:rsidR="00041C07" w:rsidRDefault="00041C07" w:rsidP="006C405B">
      <w:pPr>
        <w:pStyle w:val="ListParagraph"/>
        <w:ind w:left="1800"/>
        <w:jc w:val="both"/>
        <w:rPr>
          <w:rFonts w:ascii="Arial" w:hAnsi="Arial" w:cs="Arial"/>
          <w:sz w:val="24"/>
          <w:szCs w:val="24"/>
          <w:lang w:val="en-US"/>
        </w:rPr>
      </w:pPr>
      <w:r>
        <w:rPr>
          <w:rFonts w:ascii="Arial" w:hAnsi="Arial" w:cs="Arial"/>
          <w:sz w:val="24"/>
          <w:szCs w:val="24"/>
          <w:lang w:val="en-US"/>
        </w:rPr>
        <w:t>Venue Today #12 Top Stop 12-13 Year-end Report</w:t>
      </w:r>
    </w:p>
    <w:p w:rsidR="00041C07" w:rsidRDefault="00041C07" w:rsidP="006C405B">
      <w:pPr>
        <w:pStyle w:val="ListParagraph"/>
        <w:ind w:left="1800"/>
        <w:jc w:val="both"/>
        <w:rPr>
          <w:rFonts w:ascii="Arial" w:hAnsi="Arial" w:cs="Arial"/>
          <w:sz w:val="24"/>
          <w:szCs w:val="24"/>
          <w:lang w:val="en-US"/>
        </w:rPr>
      </w:pPr>
      <w:proofErr w:type="spellStart"/>
      <w:r>
        <w:rPr>
          <w:rFonts w:ascii="Arial" w:hAnsi="Arial" w:cs="Arial"/>
          <w:sz w:val="24"/>
          <w:szCs w:val="24"/>
          <w:lang w:val="en-US"/>
        </w:rPr>
        <w:t>Pollstar</w:t>
      </w:r>
      <w:proofErr w:type="spellEnd"/>
      <w:r>
        <w:rPr>
          <w:rFonts w:ascii="Arial" w:hAnsi="Arial" w:cs="Arial"/>
          <w:sz w:val="24"/>
          <w:szCs w:val="24"/>
          <w:lang w:val="en-US"/>
        </w:rPr>
        <w:t xml:space="preserve"> #38 Top 200 Arena Venues Year End Edition</w:t>
      </w:r>
    </w:p>
    <w:p w:rsidR="00041C07" w:rsidRDefault="00041C07" w:rsidP="006C405B">
      <w:pPr>
        <w:pStyle w:val="ListParagraph"/>
        <w:ind w:left="1800"/>
        <w:jc w:val="both"/>
        <w:rPr>
          <w:rFonts w:ascii="Arial" w:hAnsi="Arial" w:cs="Arial"/>
          <w:sz w:val="24"/>
          <w:szCs w:val="24"/>
          <w:lang w:val="en-US"/>
        </w:rPr>
      </w:pPr>
    </w:p>
    <w:p w:rsidR="00041C07" w:rsidRDefault="00041C07" w:rsidP="006C405B">
      <w:pPr>
        <w:pStyle w:val="ListParagraph"/>
        <w:ind w:left="1800"/>
        <w:jc w:val="both"/>
        <w:rPr>
          <w:rFonts w:ascii="Arial" w:hAnsi="Arial" w:cs="Arial"/>
          <w:sz w:val="24"/>
          <w:szCs w:val="24"/>
          <w:lang w:val="en-US"/>
        </w:rPr>
      </w:pPr>
      <w:r>
        <w:rPr>
          <w:rFonts w:ascii="Arial" w:hAnsi="Arial" w:cs="Arial"/>
          <w:sz w:val="24"/>
          <w:szCs w:val="24"/>
          <w:lang w:val="en-US"/>
        </w:rPr>
        <w:t>2014</w:t>
      </w:r>
    </w:p>
    <w:p w:rsidR="00041C07" w:rsidRDefault="00041C07" w:rsidP="006C405B">
      <w:pPr>
        <w:pStyle w:val="ListParagraph"/>
        <w:ind w:left="1800"/>
        <w:jc w:val="both"/>
        <w:rPr>
          <w:rFonts w:ascii="Arial" w:hAnsi="Arial" w:cs="Arial"/>
          <w:sz w:val="24"/>
          <w:szCs w:val="24"/>
          <w:lang w:val="en-US"/>
        </w:rPr>
      </w:pPr>
      <w:proofErr w:type="spellStart"/>
      <w:r>
        <w:rPr>
          <w:rFonts w:ascii="Arial" w:hAnsi="Arial" w:cs="Arial"/>
          <w:sz w:val="24"/>
          <w:szCs w:val="24"/>
          <w:lang w:val="en-US"/>
        </w:rPr>
        <w:t>Pollstar</w:t>
      </w:r>
      <w:proofErr w:type="spellEnd"/>
      <w:r>
        <w:rPr>
          <w:rFonts w:ascii="Arial" w:hAnsi="Arial" w:cs="Arial"/>
          <w:sz w:val="24"/>
          <w:szCs w:val="24"/>
          <w:lang w:val="en-US"/>
        </w:rPr>
        <w:t xml:space="preserve"> #35 Top 100 Arena Venues </w:t>
      </w:r>
      <w:proofErr w:type="spellStart"/>
      <w:r>
        <w:rPr>
          <w:rFonts w:ascii="Arial" w:hAnsi="Arial" w:cs="Arial"/>
          <w:sz w:val="24"/>
          <w:szCs w:val="24"/>
          <w:lang w:val="en-US"/>
        </w:rPr>
        <w:t>Mid year</w:t>
      </w:r>
      <w:proofErr w:type="spellEnd"/>
    </w:p>
    <w:p w:rsidR="00041C07" w:rsidRDefault="00041C07" w:rsidP="006C405B">
      <w:pPr>
        <w:pStyle w:val="ListParagraph"/>
        <w:ind w:left="1800"/>
        <w:jc w:val="both"/>
        <w:rPr>
          <w:rFonts w:ascii="Arial" w:hAnsi="Arial" w:cs="Arial"/>
          <w:sz w:val="24"/>
          <w:szCs w:val="24"/>
          <w:lang w:val="en-US"/>
        </w:rPr>
      </w:pPr>
      <w:proofErr w:type="spellStart"/>
      <w:r>
        <w:rPr>
          <w:rFonts w:ascii="Arial" w:hAnsi="Arial" w:cs="Arial"/>
          <w:sz w:val="24"/>
          <w:szCs w:val="24"/>
          <w:lang w:val="en-US"/>
        </w:rPr>
        <w:t>Pollstar</w:t>
      </w:r>
      <w:proofErr w:type="spellEnd"/>
      <w:r>
        <w:rPr>
          <w:rFonts w:ascii="Arial" w:hAnsi="Arial" w:cs="Arial"/>
          <w:sz w:val="24"/>
          <w:szCs w:val="24"/>
          <w:lang w:val="en-US"/>
        </w:rPr>
        <w:t xml:space="preserve"> #50 Top 100 Arena Venues Third Quarter</w:t>
      </w:r>
    </w:p>
    <w:p w:rsidR="00041C07" w:rsidRDefault="00041C07" w:rsidP="006C405B">
      <w:pPr>
        <w:pStyle w:val="ListParagraph"/>
        <w:ind w:left="1800"/>
        <w:jc w:val="both"/>
        <w:rPr>
          <w:rFonts w:ascii="Arial" w:hAnsi="Arial" w:cs="Arial"/>
          <w:sz w:val="24"/>
          <w:szCs w:val="24"/>
          <w:lang w:val="en-US"/>
        </w:rPr>
      </w:pPr>
      <w:proofErr w:type="spellStart"/>
      <w:r>
        <w:rPr>
          <w:rFonts w:ascii="Arial" w:hAnsi="Arial" w:cs="Arial"/>
          <w:sz w:val="24"/>
          <w:szCs w:val="24"/>
          <w:lang w:val="en-US"/>
        </w:rPr>
        <w:t>Pollstar</w:t>
      </w:r>
      <w:proofErr w:type="spellEnd"/>
      <w:r>
        <w:rPr>
          <w:rFonts w:ascii="Arial" w:hAnsi="Arial" w:cs="Arial"/>
          <w:sz w:val="24"/>
          <w:szCs w:val="24"/>
          <w:lang w:val="en-US"/>
        </w:rPr>
        <w:t xml:space="preserve"> #38 Top 200 Arena Venues Year End Edition</w:t>
      </w:r>
    </w:p>
    <w:p w:rsidR="00041C07" w:rsidRDefault="00041C07" w:rsidP="006C405B">
      <w:pPr>
        <w:pStyle w:val="ListParagraph"/>
        <w:ind w:left="1800"/>
        <w:jc w:val="both"/>
        <w:rPr>
          <w:rFonts w:ascii="Arial" w:hAnsi="Arial" w:cs="Arial"/>
          <w:sz w:val="24"/>
          <w:szCs w:val="24"/>
          <w:lang w:val="en-US"/>
        </w:rPr>
      </w:pPr>
    </w:p>
    <w:p w:rsidR="00041C07" w:rsidRDefault="00041C07" w:rsidP="006C405B">
      <w:pPr>
        <w:pStyle w:val="ListParagraph"/>
        <w:ind w:left="1800"/>
        <w:jc w:val="both"/>
        <w:rPr>
          <w:rFonts w:ascii="Arial" w:hAnsi="Arial" w:cs="Arial"/>
          <w:sz w:val="24"/>
          <w:szCs w:val="24"/>
          <w:lang w:val="en-US"/>
        </w:rPr>
      </w:pPr>
      <w:r>
        <w:rPr>
          <w:rFonts w:ascii="Arial" w:hAnsi="Arial" w:cs="Arial"/>
          <w:sz w:val="24"/>
          <w:szCs w:val="24"/>
          <w:lang w:val="en-US"/>
        </w:rPr>
        <w:t>2015</w:t>
      </w:r>
    </w:p>
    <w:p w:rsidR="00041C07" w:rsidRDefault="00C44835" w:rsidP="006C405B">
      <w:pPr>
        <w:pStyle w:val="ListParagraph"/>
        <w:ind w:left="1800"/>
        <w:jc w:val="both"/>
        <w:rPr>
          <w:rFonts w:ascii="Arial" w:hAnsi="Arial" w:cs="Arial"/>
          <w:sz w:val="24"/>
          <w:szCs w:val="24"/>
          <w:lang w:val="en-US"/>
        </w:rPr>
      </w:pPr>
      <w:r>
        <w:rPr>
          <w:rFonts w:ascii="Arial" w:hAnsi="Arial" w:cs="Arial"/>
          <w:sz w:val="24"/>
          <w:szCs w:val="24"/>
          <w:lang w:val="en-US"/>
        </w:rPr>
        <w:t xml:space="preserve">Venue Today #20 Top Stops </w:t>
      </w:r>
      <w:proofErr w:type="spellStart"/>
      <w:proofErr w:type="gramStart"/>
      <w:r>
        <w:rPr>
          <w:rFonts w:ascii="Arial" w:hAnsi="Arial" w:cs="Arial"/>
          <w:sz w:val="24"/>
          <w:szCs w:val="24"/>
          <w:lang w:val="en-US"/>
        </w:rPr>
        <w:t>Mid</w:t>
      </w:r>
      <w:proofErr w:type="gramEnd"/>
      <w:r>
        <w:rPr>
          <w:rFonts w:ascii="Arial" w:hAnsi="Arial" w:cs="Arial"/>
          <w:sz w:val="24"/>
          <w:szCs w:val="24"/>
          <w:lang w:val="en-US"/>
        </w:rPr>
        <w:t xml:space="preserve"> Year</w:t>
      </w:r>
      <w:proofErr w:type="spellEnd"/>
    </w:p>
    <w:p w:rsidR="00C44835" w:rsidRDefault="00C44835" w:rsidP="006C405B">
      <w:pPr>
        <w:pStyle w:val="ListParagraph"/>
        <w:ind w:left="1800"/>
        <w:jc w:val="both"/>
        <w:rPr>
          <w:rFonts w:ascii="Arial" w:hAnsi="Arial" w:cs="Arial"/>
          <w:sz w:val="24"/>
          <w:szCs w:val="24"/>
          <w:lang w:val="en-US"/>
        </w:rPr>
      </w:pPr>
      <w:proofErr w:type="spellStart"/>
      <w:r>
        <w:rPr>
          <w:rFonts w:ascii="Arial" w:hAnsi="Arial" w:cs="Arial"/>
          <w:sz w:val="24"/>
          <w:szCs w:val="24"/>
          <w:lang w:val="en-US"/>
        </w:rPr>
        <w:t>Pollstar</w:t>
      </w:r>
      <w:proofErr w:type="spellEnd"/>
      <w:r>
        <w:rPr>
          <w:rFonts w:ascii="Arial" w:hAnsi="Arial" w:cs="Arial"/>
          <w:sz w:val="24"/>
          <w:szCs w:val="24"/>
          <w:lang w:val="en-US"/>
        </w:rPr>
        <w:t xml:space="preserve"> #38 Top 200 Arena Venue 3</w:t>
      </w:r>
      <w:r w:rsidRPr="00C44835">
        <w:rPr>
          <w:rFonts w:ascii="Arial" w:hAnsi="Arial" w:cs="Arial"/>
          <w:sz w:val="24"/>
          <w:szCs w:val="24"/>
          <w:vertAlign w:val="superscript"/>
          <w:lang w:val="en-US"/>
        </w:rPr>
        <w:t>rd</w:t>
      </w:r>
      <w:r>
        <w:rPr>
          <w:rFonts w:ascii="Arial" w:hAnsi="Arial" w:cs="Arial"/>
          <w:sz w:val="24"/>
          <w:szCs w:val="24"/>
          <w:lang w:val="en-US"/>
        </w:rPr>
        <w:t xml:space="preserve"> Quarter</w:t>
      </w:r>
    </w:p>
    <w:p w:rsidR="00C44835" w:rsidRDefault="00C44835" w:rsidP="006C405B">
      <w:pPr>
        <w:pStyle w:val="ListParagraph"/>
        <w:ind w:left="1800"/>
        <w:jc w:val="both"/>
        <w:rPr>
          <w:rFonts w:ascii="Arial" w:hAnsi="Arial" w:cs="Arial"/>
          <w:sz w:val="24"/>
          <w:szCs w:val="24"/>
          <w:lang w:val="en-US"/>
        </w:rPr>
      </w:pPr>
    </w:p>
    <w:p w:rsidR="00C44835" w:rsidRDefault="00C44835" w:rsidP="006C405B">
      <w:pPr>
        <w:pStyle w:val="ListParagraph"/>
        <w:ind w:left="1800"/>
        <w:jc w:val="both"/>
        <w:rPr>
          <w:rFonts w:ascii="Arial" w:hAnsi="Arial" w:cs="Arial"/>
          <w:sz w:val="24"/>
          <w:szCs w:val="24"/>
          <w:lang w:val="en-US"/>
        </w:rPr>
      </w:pPr>
      <w:r>
        <w:rPr>
          <w:rFonts w:ascii="Arial" w:hAnsi="Arial" w:cs="Arial"/>
          <w:sz w:val="24"/>
          <w:szCs w:val="24"/>
          <w:lang w:val="en-US"/>
        </w:rPr>
        <w:t>2016</w:t>
      </w:r>
    </w:p>
    <w:p w:rsidR="00C44835" w:rsidRPr="00041C07" w:rsidRDefault="00C44835" w:rsidP="006C405B">
      <w:pPr>
        <w:pStyle w:val="ListParagraph"/>
        <w:ind w:left="1800"/>
        <w:jc w:val="both"/>
        <w:rPr>
          <w:rFonts w:ascii="Arial" w:hAnsi="Arial" w:cs="Arial"/>
          <w:sz w:val="24"/>
          <w:szCs w:val="24"/>
          <w:lang w:val="en-US"/>
        </w:rPr>
      </w:pPr>
      <w:proofErr w:type="spellStart"/>
      <w:r>
        <w:rPr>
          <w:rFonts w:ascii="Arial" w:hAnsi="Arial" w:cs="Arial"/>
          <w:sz w:val="24"/>
          <w:szCs w:val="24"/>
          <w:lang w:val="en-US"/>
        </w:rPr>
        <w:t>Pollstar</w:t>
      </w:r>
      <w:proofErr w:type="spellEnd"/>
      <w:r>
        <w:rPr>
          <w:rFonts w:ascii="Arial" w:hAnsi="Arial" w:cs="Arial"/>
          <w:sz w:val="24"/>
          <w:szCs w:val="24"/>
          <w:lang w:val="en-US"/>
        </w:rPr>
        <w:t xml:space="preserve"> #33 Top 200 </w:t>
      </w:r>
      <w:proofErr w:type="spellStart"/>
      <w:r>
        <w:rPr>
          <w:rFonts w:ascii="Arial" w:hAnsi="Arial" w:cs="Arial"/>
          <w:sz w:val="24"/>
          <w:szCs w:val="24"/>
          <w:lang w:val="en-US"/>
        </w:rPr>
        <w:t>Arean</w:t>
      </w:r>
      <w:proofErr w:type="spellEnd"/>
      <w:r>
        <w:rPr>
          <w:rFonts w:ascii="Arial" w:hAnsi="Arial" w:cs="Arial"/>
          <w:sz w:val="24"/>
          <w:szCs w:val="24"/>
          <w:lang w:val="en-US"/>
        </w:rPr>
        <w:t xml:space="preserve"> Venue Mil Year Edition</w:t>
      </w:r>
    </w:p>
    <w:p w:rsidR="009E340C" w:rsidRPr="00041C07" w:rsidRDefault="009E340C" w:rsidP="006C405B">
      <w:pPr>
        <w:pStyle w:val="ListParagraph"/>
        <w:ind w:left="1800"/>
        <w:jc w:val="both"/>
        <w:rPr>
          <w:rFonts w:ascii="Arial" w:hAnsi="Arial" w:cs="Arial"/>
          <w:sz w:val="24"/>
          <w:szCs w:val="24"/>
          <w:lang w:val="en-US"/>
        </w:rPr>
      </w:pPr>
    </w:p>
    <w:p w:rsidR="009E340C" w:rsidRPr="00041C07" w:rsidRDefault="009E340C" w:rsidP="006C405B">
      <w:pPr>
        <w:pStyle w:val="ListParagraph"/>
        <w:ind w:left="1800"/>
        <w:jc w:val="both"/>
        <w:rPr>
          <w:rFonts w:ascii="Arial" w:hAnsi="Arial" w:cs="Arial"/>
          <w:sz w:val="24"/>
          <w:szCs w:val="24"/>
          <w:lang w:val="en-US"/>
        </w:rPr>
      </w:pPr>
    </w:p>
    <w:p w:rsidR="00864A28" w:rsidRPr="00041C07" w:rsidRDefault="00864A28" w:rsidP="00864A28">
      <w:pPr>
        <w:pStyle w:val="ListParagraph"/>
        <w:ind w:left="1800"/>
        <w:jc w:val="both"/>
        <w:rPr>
          <w:rFonts w:ascii="Arial" w:hAnsi="Arial" w:cs="Arial"/>
          <w:b/>
          <w:sz w:val="24"/>
          <w:szCs w:val="24"/>
          <w:lang w:val="en-US"/>
        </w:rPr>
      </w:pPr>
    </w:p>
    <w:p w:rsidR="00864A28" w:rsidRPr="00041C07" w:rsidRDefault="00864A28" w:rsidP="00864A28">
      <w:pPr>
        <w:pStyle w:val="ListParagraph"/>
        <w:ind w:left="1800"/>
        <w:jc w:val="both"/>
        <w:rPr>
          <w:rFonts w:ascii="Arial" w:hAnsi="Arial" w:cs="Arial"/>
          <w:b/>
          <w:sz w:val="24"/>
          <w:szCs w:val="24"/>
          <w:lang w:val="en-US"/>
        </w:rPr>
      </w:pPr>
    </w:p>
    <w:p w:rsidR="00CA04CC" w:rsidRPr="00041C07" w:rsidRDefault="00CA04CC" w:rsidP="00063C98">
      <w:pPr>
        <w:pStyle w:val="ListParagraph"/>
        <w:ind w:left="1800"/>
        <w:jc w:val="both"/>
        <w:rPr>
          <w:rFonts w:ascii="Arial" w:hAnsi="Arial" w:cs="Arial"/>
          <w:sz w:val="24"/>
          <w:szCs w:val="24"/>
          <w:lang w:val="en-US"/>
        </w:rPr>
      </w:pPr>
    </w:p>
    <w:p w:rsidR="00CA04CC" w:rsidRPr="00041C07" w:rsidRDefault="00CA04CC" w:rsidP="00CA04CC">
      <w:pPr>
        <w:jc w:val="both"/>
        <w:rPr>
          <w:rFonts w:ascii="Arial" w:hAnsi="Arial" w:cs="Arial"/>
          <w:sz w:val="24"/>
          <w:szCs w:val="24"/>
          <w:lang w:val="en-US"/>
        </w:rPr>
      </w:pPr>
      <w:r w:rsidRPr="00041C07">
        <w:rPr>
          <w:rFonts w:ascii="Arial" w:hAnsi="Arial" w:cs="Arial"/>
          <w:sz w:val="24"/>
          <w:szCs w:val="24"/>
          <w:lang w:val="en-US"/>
        </w:rPr>
        <w:t xml:space="preserve">          </w:t>
      </w:r>
    </w:p>
    <w:p w:rsidR="00063C98" w:rsidRPr="00041C07" w:rsidRDefault="00063C98" w:rsidP="00063C98">
      <w:pPr>
        <w:pStyle w:val="ListParagraph"/>
        <w:ind w:left="1800"/>
        <w:jc w:val="both"/>
        <w:rPr>
          <w:rFonts w:ascii="Arial" w:hAnsi="Arial" w:cs="Arial"/>
          <w:sz w:val="24"/>
          <w:szCs w:val="24"/>
          <w:lang w:val="en-US"/>
        </w:rPr>
      </w:pPr>
    </w:p>
    <w:p w:rsidR="00063C98" w:rsidRPr="00041C07" w:rsidRDefault="00063C98" w:rsidP="00063C98">
      <w:pPr>
        <w:pStyle w:val="ListParagraph"/>
        <w:ind w:left="1800"/>
        <w:jc w:val="both"/>
        <w:rPr>
          <w:rFonts w:ascii="Arial" w:hAnsi="Arial" w:cs="Arial"/>
          <w:sz w:val="24"/>
          <w:szCs w:val="24"/>
          <w:lang w:val="en-US"/>
        </w:rPr>
      </w:pPr>
    </w:p>
    <w:p w:rsidR="00581048" w:rsidRPr="00041C07" w:rsidRDefault="00581048" w:rsidP="00581048">
      <w:pPr>
        <w:pStyle w:val="ListParagraph"/>
        <w:ind w:left="1800"/>
        <w:jc w:val="both"/>
        <w:rPr>
          <w:rFonts w:ascii="Arial" w:hAnsi="Arial" w:cs="Arial"/>
          <w:sz w:val="24"/>
          <w:szCs w:val="24"/>
          <w:lang w:val="en-US"/>
        </w:rPr>
      </w:pPr>
    </w:p>
    <w:p w:rsidR="004950D4" w:rsidRPr="00041C07" w:rsidRDefault="004950D4" w:rsidP="004950D4">
      <w:pPr>
        <w:pStyle w:val="ListParagraph"/>
        <w:ind w:left="1800"/>
        <w:jc w:val="both"/>
        <w:rPr>
          <w:rFonts w:ascii="Arial" w:hAnsi="Arial" w:cs="Arial"/>
          <w:sz w:val="24"/>
          <w:szCs w:val="24"/>
          <w:lang w:val="en-US"/>
        </w:rPr>
      </w:pPr>
    </w:p>
    <w:p w:rsidR="00416C9A" w:rsidRPr="00041C07" w:rsidRDefault="00416C9A" w:rsidP="00416C9A">
      <w:pPr>
        <w:pStyle w:val="ListParagraph"/>
        <w:ind w:left="1800"/>
        <w:jc w:val="both"/>
        <w:rPr>
          <w:rFonts w:ascii="Arial" w:hAnsi="Arial" w:cs="Arial"/>
          <w:sz w:val="24"/>
          <w:szCs w:val="24"/>
          <w:lang w:val="en-US"/>
        </w:rPr>
      </w:pPr>
    </w:p>
    <w:sectPr w:rsidR="00416C9A" w:rsidRPr="00041C07" w:rsidSect="00944A11">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D12" w:rsidRDefault="00603D12" w:rsidP="00944A11">
      <w:pPr>
        <w:spacing w:after="0" w:line="240" w:lineRule="auto"/>
      </w:pPr>
      <w:r>
        <w:separator/>
      </w:r>
    </w:p>
  </w:endnote>
  <w:endnote w:type="continuationSeparator" w:id="0">
    <w:p w:rsidR="00603D12" w:rsidRDefault="00603D12" w:rsidP="0094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20192"/>
      <w:docPartObj>
        <w:docPartGallery w:val="Page Numbers (Bottom of Page)"/>
        <w:docPartUnique/>
      </w:docPartObj>
    </w:sdtPr>
    <w:sdtEndPr>
      <w:rPr>
        <w:noProof/>
      </w:rPr>
    </w:sdtEndPr>
    <w:sdtContent>
      <w:p w:rsidR="00944A11" w:rsidRDefault="00944A11">
        <w:pPr>
          <w:pStyle w:val="Footer"/>
          <w:jc w:val="right"/>
        </w:pPr>
        <w:r>
          <w:fldChar w:fldCharType="begin"/>
        </w:r>
        <w:r>
          <w:instrText xml:space="preserve"> PAGE   \* MERGEFORMAT </w:instrText>
        </w:r>
        <w:r>
          <w:fldChar w:fldCharType="separate"/>
        </w:r>
        <w:r w:rsidR="00B94F7A">
          <w:rPr>
            <w:noProof/>
          </w:rPr>
          <w:t>5</w:t>
        </w:r>
        <w:r>
          <w:rPr>
            <w:noProof/>
          </w:rPr>
          <w:fldChar w:fldCharType="end"/>
        </w:r>
      </w:p>
    </w:sdtContent>
  </w:sdt>
  <w:p w:rsidR="00944A11" w:rsidRDefault="00944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D12" w:rsidRDefault="00603D12" w:rsidP="00944A11">
      <w:pPr>
        <w:spacing w:after="0" w:line="240" w:lineRule="auto"/>
      </w:pPr>
      <w:r>
        <w:separator/>
      </w:r>
    </w:p>
  </w:footnote>
  <w:footnote w:type="continuationSeparator" w:id="0">
    <w:p w:rsidR="00603D12" w:rsidRDefault="00603D12" w:rsidP="00944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0C4B"/>
    <w:multiLevelType w:val="hybridMultilevel"/>
    <w:tmpl w:val="5DFE4360"/>
    <w:lvl w:ilvl="0" w:tplc="F138AE8A">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 w15:restartNumberingAfterBreak="0">
    <w:nsid w:val="3A0229EB"/>
    <w:multiLevelType w:val="hybridMultilevel"/>
    <w:tmpl w:val="47A26DF8"/>
    <w:lvl w:ilvl="0" w:tplc="D6E49792">
      <w:start w:val="1"/>
      <w:numFmt w:val="upperRoman"/>
      <w:lvlText w:val="%1."/>
      <w:lvlJc w:val="left"/>
      <w:pPr>
        <w:ind w:left="1080" w:hanging="72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401E7C5F"/>
    <w:multiLevelType w:val="hybridMultilevel"/>
    <w:tmpl w:val="DFD0DB4C"/>
    <w:lvl w:ilvl="0" w:tplc="49ACBD4E">
      <w:start w:val="1"/>
      <w:numFmt w:val="bullet"/>
      <w:lvlText w:val=""/>
      <w:lvlJc w:val="left"/>
      <w:pPr>
        <w:ind w:left="1800" w:hanging="360"/>
      </w:pPr>
      <w:rPr>
        <w:rFonts w:ascii="Symbol" w:eastAsiaTheme="minorHAnsi" w:hAnsi="Symbol" w:cs="Arial" w:hint="default"/>
      </w:rPr>
    </w:lvl>
    <w:lvl w:ilvl="1" w:tplc="500A0003" w:tentative="1">
      <w:start w:val="1"/>
      <w:numFmt w:val="bullet"/>
      <w:lvlText w:val="o"/>
      <w:lvlJc w:val="left"/>
      <w:pPr>
        <w:ind w:left="2520" w:hanging="360"/>
      </w:pPr>
      <w:rPr>
        <w:rFonts w:ascii="Courier New" w:hAnsi="Courier New" w:cs="Courier New" w:hint="default"/>
      </w:rPr>
    </w:lvl>
    <w:lvl w:ilvl="2" w:tplc="500A0005" w:tentative="1">
      <w:start w:val="1"/>
      <w:numFmt w:val="bullet"/>
      <w:lvlText w:val=""/>
      <w:lvlJc w:val="left"/>
      <w:pPr>
        <w:ind w:left="3240" w:hanging="360"/>
      </w:pPr>
      <w:rPr>
        <w:rFonts w:ascii="Wingdings" w:hAnsi="Wingdings" w:hint="default"/>
      </w:rPr>
    </w:lvl>
    <w:lvl w:ilvl="3" w:tplc="500A0001" w:tentative="1">
      <w:start w:val="1"/>
      <w:numFmt w:val="bullet"/>
      <w:lvlText w:val=""/>
      <w:lvlJc w:val="left"/>
      <w:pPr>
        <w:ind w:left="3960" w:hanging="360"/>
      </w:pPr>
      <w:rPr>
        <w:rFonts w:ascii="Symbol" w:hAnsi="Symbol" w:hint="default"/>
      </w:rPr>
    </w:lvl>
    <w:lvl w:ilvl="4" w:tplc="500A0003" w:tentative="1">
      <w:start w:val="1"/>
      <w:numFmt w:val="bullet"/>
      <w:lvlText w:val="o"/>
      <w:lvlJc w:val="left"/>
      <w:pPr>
        <w:ind w:left="4680" w:hanging="360"/>
      </w:pPr>
      <w:rPr>
        <w:rFonts w:ascii="Courier New" w:hAnsi="Courier New" w:cs="Courier New" w:hint="default"/>
      </w:rPr>
    </w:lvl>
    <w:lvl w:ilvl="5" w:tplc="500A0005" w:tentative="1">
      <w:start w:val="1"/>
      <w:numFmt w:val="bullet"/>
      <w:lvlText w:val=""/>
      <w:lvlJc w:val="left"/>
      <w:pPr>
        <w:ind w:left="5400" w:hanging="360"/>
      </w:pPr>
      <w:rPr>
        <w:rFonts w:ascii="Wingdings" w:hAnsi="Wingdings" w:hint="default"/>
      </w:rPr>
    </w:lvl>
    <w:lvl w:ilvl="6" w:tplc="500A0001" w:tentative="1">
      <w:start w:val="1"/>
      <w:numFmt w:val="bullet"/>
      <w:lvlText w:val=""/>
      <w:lvlJc w:val="left"/>
      <w:pPr>
        <w:ind w:left="6120" w:hanging="360"/>
      </w:pPr>
      <w:rPr>
        <w:rFonts w:ascii="Symbol" w:hAnsi="Symbol" w:hint="default"/>
      </w:rPr>
    </w:lvl>
    <w:lvl w:ilvl="7" w:tplc="500A0003" w:tentative="1">
      <w:start w:val="1"/>
      <w:numFmt w:val="bullet"/>
      <w:lvlText w:val="o"/>
      <w:lvlJc w:val="left"/>
      <w:pPr>
        <w:ind w:left="6840" w:hanging="360"/>
      </w:pPr>
      <w:rPr>
        <w:rFonts w:ascii="Courier New" w:hAnsi="Courier New" w:cs="Courier New" w:hint="default"/>
      </w:rPr>
    </w:lvl>
    <w:lvl w:ilvl="8" w:tplc="500A0005" w:tentative="1">
      <w:start w:val="1"/>
      <w:numFmt w:val="bullet"/>
      <w:lvlText w:val=""/>
      <w:lvlJc w:val="left"/>
      <w:pPr>
        <w:ind w:left="7560" w:hanging="360"/>
      </w:pPr>
      <w:rPr>
        <w:rFonts w:ascii="Wingdings" w:hAnsi="Wingdings" w:hint="default"/>
      </w:rPr>
    </w:lvl>
  </w:abstractNum>
  <w:abstractNum w:abstractNumId="3" w15:restartNumberingAfterBreak="0">
    <w:nsid w:val="7BE70E1F"/>
    <w:multiLevelType w:val="hybridMultilevel"/>
    <w:tmpl w:val="89726086"/>
    <w:lvl w:ilvl="0" w:tplc="9040935A">
      <w:start w:val="1"/>
      <w:numFmt w:val="upperLetter"/>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F1"/>
    <w:rsid w:val="00041C07"/>
    <w:rsid w:val="00063C98"/>
    <w:rsid w:val="002255ED"/>
    <w:rsid w:val="002F68C4"/>
    <w:rsid w:val="00416C9A"/>
    <w:rsid w:val="004950D4"/>
    <w:rsid w:val="004D35AC"/>
    <w:rsid w:val="00581048"/>
    <w:rsid w:val="00603D12"/>
    <w:rsid w:val="006C405B"/>
    <w:rsid w:val="006F3729"/>
    <w:rsid w:val="0079604B"/>
    <w:rsid w:val="008236C7"/>
    <w:rsid w:val="008277B3"/>
    <w:rsid w:val="00864A28"/>
    <w:rsid w:val="0088751E"/>
    <w:rsid w:val="00944A11"/>
    <w:rsid w:val="009E340C"/>
    <w:rsid w:val="00A27270"/>
    <w:rsid w:val="00A81A35"/>
    <w:rsid w:val="00B62009"/>
    <w:rsid w:val="00B94F7A"/>
    <w:rsid w:val="00BB1F66"/>
    <w:rsid w:val="00C44835"/>
    <w:rsid w:val="00C8472D"/>
    <w:rsid w:val="00CA04CC"/>
    <w:rsid w:val="00CC5D7A"/>
    <w:rsid w:val="00D15BB2"/>
    <w:rsid w:val="00D47DF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03E88-68B4-4CA8-BC4B-9B3C33FD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DF1"/>
    <w:pPr>
      <w:ind w:left="720"/>
      <w:contextualSpacing/>
    </w:pPr>
  </w:style>
  <w:style w:type="paragraph" w:styleId="Header">
    <w:name w:val="header"/>
    <w:basedOn w:val="Normal"/>
    <w:link w:val="HeaderChar"/>
    <w:uiPriority w:val="99"/>
    <w:unhideWhenUsed/>
    <w:rsid w:val="00944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A11"/>
  </w:style>
  <w:style w:type="paragraph" w:styleId="Footer">
    <w:name w:val="footer"/>
    <w:basedOn w:val="Normal"/>
    <w:link w:val="FooterChar"/>
    <w:uiPriority w:val="99"/>
    <w:unhideWhenUsed/>
    <w:rsid w:val="00944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A11"/>
  </w:style>
  <w:style w:type="paragraph" w:styleId="BalloonText">
    <w:name w:val="Balloon Text"/>
    <w:basedOn w:val="Normal"/>
    <w:link w:val="BalloonTextChar"/>
    <w:uiPriority w:val="99"/>
    <w:semiHidden/>
    <w:unhideWhenUsed/>
    <w:rsid w:val="00B9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2619EAA03F445A7CF1BEFDC95A0B8" ma:contentTypeVersion="0" ma:contentTypeDescription="Create a new document." ma:contentTypeScope="" ma:versionID="71da74624e7505e2427be00edab6fd9e">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34FAE-DF7B-4B07-B9E0-377B2A8EEBF4}"/>
</file>

<file path=customXml/itemProps2.xml><?xml version="1.0" encoding="utf-8"?>
<ds:datastoreItem xmlns:ds="http://schemas.openxmlformats.org/officeDocument/2006/customXml" ds:itemID="{793E02BA-2582-40F8-8898-D34AF1841C42}"/>
</file>

<file path=customXml/itemProps3.xml><?xml version="1.0" encoding="utf-8"?>
<ds:datastoreItem xmlns:ds="http://schemas.openxmlformats.org/officeDocument/2006/customXml" ds:itemID="{007F2304-4F9D-4FA8-9D19-83FBBC8575FF}"/>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Vilanova Morales</dc:creator>
  <cp:keywords/>
  <dc:description/>
  <cp:lastModifiedBy>Noema Giralt</cp:lastModifiedBy>
  <cp:revision>3</cp:revision>
  <cp:lastPrinted>2016-10-14T17:47:00Z</cp:lastPrinted>
  <dcterms:created xsi:type="dcterms:W3CDTF">2016-10-14T17:47:00Z</dcterms:created>
  <dcterms:modified xsi:type="dcterms:W3CDTF">2016-10-14T17:48:00Z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0x010100BEE2619EAA03F445A7CF1BEFDC95A0B8</vt:lpwstr>
  </property>
</Properties>
</file>